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CA93A" w14:textId="77777777" w:rsidR="0059414D" w:rsidRDefault="0051453F">
      <w:pPr>
        <w:adjustRightInd w:val="0"/>
        <w:snapToGrid w:val="0"/>
        <w:spacing w:line="300" w:lineRule="auto"/>
        <w:jc w:val="center"/>
        <w:rPr>
          <w:rFonts w:ascii="Times New Roman" w:hAnsi="Times New Roman" w:cs="Times New Roman"/>
          <w:b/>
          <w:sz w:val="28"/>
          <w:szCs w:val="28"/>
        </w:rPr>
      </w:pPr>
      <w:r>
        <w:rPr>
          <w:rFonts w:ascii="Times New Roman" w:hAnsi="Times New Roman" w:cs="Times New Roman" w:hint="eastAsia"/>
          <w:b/>
          <w:sz w:val="28"/>
          <w:szCs w:val="28"/>
        </w:rPr>
        <w:t>《肥料增效剂</w:t>
      </w:r>
      <w:r>
        <w:rPr>
          <w:rFonts w:ascii="Times New Roman" w:hAnsi="Times New Roman" w:cs="Times New Roman" w:hint="eastAsia"/>
          <w:b/>
          <w:sz w:val="28"/>
          <w:szCs w:val="28"/>
        </w:rPr>
        <w:t xml:space="preserve"> </w:t>
      </w:r>
      <w:r>
        <w:rPr>
          <w:rFonts w:ascii="Times New Roman" w:hAnsi="Times New Roman" w:cs="Times New Roman" w:hint="eastAsia"/>
          <w:b/>
          <w:sz w:val="28"/>
          <w:szCs w:val="28"/>
        </w:rPr>
        <w:t>腐植酸》化工行业</w:t>
      </w:r>
      <w:r>
        <w:rPr>
          <w:rFonts w:ascii="Times New Roman" w:hAnsi="Times New Roman" w:cs="Times New Roman"/>
          <w:b/>
          <w:sz w:val="28"/>
          <w:szCs w:val="28"/>
        </w:rPr>
        <w:t>标准</w:t>
      </w:r>
      <w:r>
        <w:rPr>
          <w:rFonts w:ascii="Times New Roman" w:hAnsi="Times New Roman" w:cs="Times New Roman" w:hint="eastAsia"/>
          <w:b/>
          <w:sz w:val="28"/>
          <w:szCs w:val="28"/>
        </w:rPr>
        <w:t>制定</w:t>
      </w:r>
    </w:p>
    <w:p w14:paraId="57C4EAD0" w14:textId="5B77FAEE" w:rsidR="0059414D" w:rsidRDefault="003D7B69">
      <w:pPr>
        <w:adjustRightInd w:val="0"/>
        <w:snapToGrid w:val="0"/>
        <w:spacing w:line="300" w:lineRule="auto"/>
        <w:jc w:val="center"/>
        <w:rPr>
          <w:rFonts w:ascii="Times New Roman" w:hAnsi="Times New Roman" w:cs="Times New Roman"/>
          <w:b/>
          <w:sz w:val="28"/>
          <w:szCs w:val="28"/>
        </w:rPr>
      </w:pPr>
      <w:r>
        <w:rPr>
          <w:rFonts w:ascii="Times New Roman" w:hAnsi="Times New Roman" w:cs="Times New Roman" w:hint="eastAsia"/>
          <w:b/>
          <w:sz w:val="28"/>
          <w:szCs w:val="28"/>
        </w:rPr>
        <w:t>征求意见稿</w:t>
      </w:r>
      <w:r>
        <w:rPr>
          <w:rFonts w:ascii="Times New Roman" w:hAnsi="Times New Roman" w:cs="Times New Roman" w:hint="eastAsia"/>
          <w:b/>
          <w:sz w:val="28"/>
          <w:szCs w:val="28"/>
        </w:rPr>
        <w:t xml:space="preserve"> </w:t>
      </w:r>
      <w:r w:rsidR="0051453F">
        <w:rPr>
          <w:rFonts w:ascii="Times New Roman" w:hAnsi="Times New Roman" w:cs="Times New Roman"/>
          <w:b/>
          <w:sz w:val="28"/>
          <w:szCs w:val="28"/>
        </w:rPr>
        <w:t>编制说明</w:t>
      </w:r>
    </w:p>
    <w:p w14:paraId="3871181C" w14:textId="77777777" w:rsidR="0059414D" w:rsidRDefault="0051453F">
      <w:pPr>
        <w:adjustRightInd w:val="0"/>
        <w:snapToGrid w:val="0"/>
        <w:spacing w:line="360" w:lineRule="auto"/>
        <w:rPr>
          <w:rFonts w:ascii="Times New Roman" w:hAnsi="Times New Roman" w:cs="Times New Roman"/>
          <w:b/>
          <w:sz w:val="24"/>
          <w:szCs w:val="24"/>
        </w:rPr>
      </w:pPr>
      <w:r>
        <w:rPr>
          <w:rFonts w:ascii="Times New Roman" w:hAnsi="Times New Roman" w:cs="Times New Roman"/>
          <w:b/>
          <w:sz w:val="24"/>
          <w:szCs w:val="24"/>
        </w:rPr>
        <w:t>一、工作简况</w:t>
      </w:r>
    </w:p>
    <w:p w14:paraId="65B6CF40" w14:textId="77777777" w:rsidR="0059414D" w:rsidRDefault="0051453F">
      <w:pPr>
        <w:pStyle w:val="1"/>
        <w:spacing w:before="0" w:after="0" w:line="360" w:lineRule="auto"/>
        <w:rPr>
          <w:rFonts w:ascii="Times New Roman" w:hAnsi="Times New Roman" w:cs="Times New Roman"/>
          <w:kern w:val="2"/>
          <w:sz w:val="21"/>
        </w:rPr>
      </w:pPr>
      <w:r>
        <w:rPr>
          <w:rFonts w:ascii="Times New Roman" w:hAnsi="Times New Roman" w:cs="Times New Roman"/>
          <w:kern w:val="2"/>
          <w:sz w:val="21"/>
        </w:rPr>
        <w:t>（一）</w:t>
      </w:r>
      <w:r>
        <w:rPr>
          <w:rFonts w:ascii="Times New Roman" w:hAnsi="Times New Roman" w:cs="Times New Roman"/>
          <w:kern w:val="2"/>
          <w:sz w:val="21"/>
        </w:rPr>
        <w:t xml:space="preserve"> </w:t>
      </w:r>
      <w:r>
        <w:rPr>
          <w:rFonts w:ascii="Times New Roman" w:hAnsi="Times New Roman" w:cs="Times New Roman"/>
          <w:kern w:val="2"/>
          <w:sz w:val="21"/>
        </w:rPr>
        <w:t>任务来源</w:t>
      </w:r>
    </w:p>
    <w:p w14:paraId="3139A55D" w14:textId="54326BBD" w:rsidR="0059414D" w:rsidRDefault="0051453F">
      <w:pPr>
        <w:autoSpaceDE w:val="0"/>
        <w:autoSpaceDN w:val="0"/>
        <w:adjustRightInd w:val="0"/>
        <w:snapToGrid w:val="0"/>
        <w:spacing w:line="360" w:lineRule="auto"/>
        <w:ind w:firstLineChars="200" w:firstLine="420"/>
        <w:jc w:val="left"/>
        <w:rPr>
          <w:rFonts w:ascii="Times New Roman" w:hAnsi="Times New Roman" w:cs="Times New Roman"/>
        </w:rPr>
      </w:pPr>
      <w:r>
        <w:rPr>
          <w:rFonts w:ascii="Times New Roman" w:hAnsi="Times New Roman" w:cs="Times New Roman"/>
        </w:rPr>
        <w:t>中华人民共和国工业和信息化部办公厅印发了</w:t>
      </w:r>
      <w:r>
        <w:rPr>
          <w:rFonts w:ascii="Times New Roman" w:hAnsi="Times New Roman" w:cs="Times New Roman"/>
        </w:rPr>
        <w:t xml:space="preserve">2018 </w:t>
      </w:r>
      <w:r>
        <w:rPr>
          <w:rFonts w:ascii="Times New Roman" w:hAnsi="Times New Roman" w:cs="Times New Roman"/>
        </w:rPr>
        <w:t>年第</w:t>
      </w:r>
      <w:r>
        <w:rPr>
          <w:rFonts w:ascii="Times New Roman" w:hAnsi="Times New Roman" w:cs="Times New Roman" w:hint="eastAsia"/>
        </w:rPr>
        <w:t>四</w:t>
      </w:r>
      <w:r>
        <w:rPr>
          <w:rFonts w:ascii="Times New Roman" w:hAnsi="Times New Roman" w:cs="Times New Roman"/>
        </w:rPr>
        <w:t>批行业标准制修订计划，项目名称《</w:t>
      </w:r>
      <w:r>
        <w:rPr>
          <w:rFonts w:ascii="Times New Roman" w:hAnsi="Times New Roman" w:cs="Times New Roman" w:hint="eastAsia"/>
        </w:rPr>
        <w:t>肥料</w:t>
      </w:r>
      <w:r>
        <w:rPr>
          <w:rFonts w:ascii="Times New Roman" w:hAnsi="Times New Roman" w:cs="Times New Roman"/>
        </w:rPr>
        <w:t>增效剂</w:t>
      </w:r>
      <w:r>
        <w:rPr>
          <w:rFonts w:ascii="Times New Roman" w:hAnsi="Times New Roman" w:cs="Times New Roman" w:hint="eastAsia"/>
        </w:rPr>
        <w:t xml:space="preserve"> </w:t>
      </w:r>
      <w:r>
        <w:rPr>
          <w:rFonts w:ascii="Times New Roman" w:hAnsi="Times New Roman" w:cs="Times New Roman" w:hint="eastAsia"/>
        </w:rPr>
        <w:t>腐植酸</w:t>
      </w:r>
      <w:r>
        <w:rPr>
          <w:rFonts w:ascii="Times New Roman" w:hAnsi="Times New Roman" w:cs="Times New Roman"/>
        </w:rPr>
        <w:t>》，项目计划编号：</w:t>
      </w:r>
      <w:r>
        <w:rPr>
          <w:rFonts w:ascii="Times New Roman" w:hAnsi="Times New Roman" w:cs="Times New Roman"/>
        </w:rPr>
        <w:t>2018-1867T-HG</w:t>
      </w:r>
      <w:r>
        <w:rPr>
          <w:rFonts w:ascii="Times New Roman" w:hAnsi="Times New Roman" w:cs="Times New Roman"/>
        </w:rPr>
        <w:t>。本标准主管部门为</w:t>
      </w:r>
      <w:r>
        <w:rPr>
          <w:rFonts w:ascii="Times New Roman" w:eastAsia="宋体" w:hAnsi="Times New Roman" w:cs="Times New Roman"/>
          <w:kern w:val="0"/>
          <w:szCs w:val="21"/>
        </w:rPr>
        <w:t>中华人民共和国工业和信息化部原材料工业司。本标准</w:t>
      </w:r>
      <w:r>
        <w:rPr>
          <w:rFonts w:ascii="Times New Roman" w:hAnsi="Times New Roman" w:cs="Times New Roman"/>
        </w:rPr>
        <w:t>由中国石油和化学工业联合会提出，全国肥料和调理剂标准化技术委员会（</w:t>
      </w:r>
      <w:r>
        <w:rPr>
          <w:rFonts w:ascii="Times New Roman" w:hAnsi="Times New Roman" w:cs="Times New Roman"/>
        </w:rPr>
        <w:t>SAC/TC 105</w:t>
      </w:r>
      <w:r>
        <w:rPr>
          <w:rFonts w:ascii="Times New Roman" w:hAnsi="Times New Roman" w:cs="Times New Roman"/>
        </w:rPr>
        <w:t>）归口，主要由上海化工研究院</w:t>
      </w:r>
      <w:r w:rsidR="00214C75">
        <w:rPr>
          <w:rFonts w:ascii="Times New Roman" w:hAnsi="Times New Roman" w:cs="Times New Roman" w:hint="eastAsia"/>
        </w:rPr>
        <w:t>有限公司</w:t>
      </w:r>
      <w:r>
        <w:rPr>
          <w:rFonts w:ascii="Times New Roman" w:hAnsi="Times New Roman" w:cs="Times New Roman"/>
        </w:rPr>
        <w:t>、中国农业科学院农业资源与农业区划研究所、中海石油化学股份有限公司、</w:t>
      </w:r>
      <w:r w:rsidR="000E1683">
        <w:rPr>
          <w:rFonts w:ascii="Times New Roman" w:hAnsi="Times New Roman" w:cs="Times New Roman"/>
        </w:rPr>
        <w:t>秦皇岛五弦维爱科技开发有限公司</w:t>
      </w:r>
      <w:r w:rsidR="000E1683">
        <w:rPr>
          <w:rFonts w:ascii="Times New Roman" w:hAnsi="Times New Roman" w:cs="Times New Roman" w:hint="eastAsia"/>
        </w:rPr>
        <w:t>、</w:t>
      </w:r>
      <w:r w:rsidR="00A233F4">
        <w:rPr>
          <w:rFonts w:ascii="Times New Roman" w:hAnsi="Times New Roman" w:cs="Times New Roman" w:hint="eastAsia"/>
        </w:rPr>
        <w:t>山东省质检院、</w:t>
      </w:r>
      <w:r w:rsidR="000E1683">
        <w:rPr>
          <w:rFonts w:ascii="Times New Roman" w:hAnsi="Times New Roman" w:cs="Times New Roman"/>
        </w:rPr>
        <w:t>青岛海力源生物科技有限公司</w:t>
      </w:r>
      <w:r w:rsidR="00F303FA">
        <w:rPr>
          <w:rFonts w:ascii="Times New Roman" w:hAnsi="Times New Roman" w:cs="Times New Roman" w:hint="eastAsia"/>
        </w:rPr>
        <w:t>、</w:t>
      </w:r>
      <w:r w:rsidR="00F303FA">
        <w:rPr>
          <w:rFonts w:ascii="Times New Roman" w:hAnsi="Times New Roman" w:cs="Times New Roman"/>
        </w:rPr>
        <w:t>山东恩宝生物科技有限公司</w:t>
      </w:r>
      <w:r w:rsidR="003D7B69">
        <w:rPr>
          <w:rFonts w:ascii="Times New Roman" w:hAnsi="Times New Roman" w:cs="Times New Roman" w:hint="eastAsia"/>
        </w:rPr>
        <w:t>等单位</w:t>
      </w:r>
      <w:r>
        <w:rPr>
          <w:rFonts w:ascii="Times New Roman" w:hAnsi="Times New Roman" w:cs="Times New Roman"/>
        </w:rPr>
        <w:t>负责起草。本标准为推荐性行业标准。</w:t>
      </w:r>
    </w:p>
    <w:p w14:paraId="0B89B5D5" w14:textId="77777777" w:rsidR="0059414D" w:rsidRDefault="0051453F">
      <w:pPr>
        <w:adjustRightInd w:val="0"/>
        <w:snapToGrid w:val="0"/>
        <w:spacing w:line="300" w:lineRule="auto"/>
        <w:rPr>
          <w:rFonts w:ascii="Times New Roman" w:hAnsi="Times New Roman" w:cs="Times New Roman"/>
          <w:b/>
        </w:rPr>
      </w:pPr>
      <w:r>
        <w:rPr>
          <w:rFonts w:ascii="Times New Roman" w:hAnsi="Times New Roman" w:cs="Times New Roman"/>
          <w:b/>
        </w:rPr>
        <w:t>（二）</w:t>
      </w:r>
      <w:r>
        <w:rPr>
          <w:rFonts w:ascii="Times New Roman" w:hAnsi="Times New Roman" w:cs="Times New Roman"/>
          <w:b/>
        </w:rPr>
        <w:t xml:space="preserve"> </w:t>
      </w:r>
      <w:r>
        <w:rPr>
          <w:rFonts w:ascii="Times New Roman" w:hAnsi="Times New Roman" w:cs="Times New Roman"/>
          <w:b/>
        </w:rPr>
        <w:t>本标准制定的主要过程</w:t>
      </w:r>
    </w:p>
    <w:p w14:paraId="3D116613"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成立标准起草工作组</w:t>
      </w:r>
    </w:p>
    <w:p w14:paraId="5F85BB7F" w14:textId="77777777" w:rsidR="0059414D" w:rsidRDefault="0051453F">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rPr>
        <w:t>在接到《</w:t>
      </w:r>
      <w:r>
        <w:rPr>
          <w:rFonts w:ascii="Times New Roman" w:hAnsi="Times New Roman" w:cs="Times New Roman" w:hint="eastAsia"/>
        </w:rPr>
        <w:t>肥料</w:t>
      </w:r>
      <w:r>
        <w:rPr>
          <w:rFonts w:ascii="Times New Roman" w:hAnsi="Times New Roman" w:cs="Times New Roman"/>
        </w:rPr>
        <w:t>增效剂</w:t>
      </w:r>
      <w:r>
        <w:rPr>
          <w:rFonts w:ascii="Times New Roman" w:hAnsi="Times New Roman" w:cs="Times New Roman" w:hint="eastAsia"/>
        </w:rPr>
        <w:t xml:space="preserve"> </w:t>
      </w:r>
      <w:r>
        <w:rPr>
          <w:rFonts w:ascii="Times New Roman" w:hAnsi="Times New Roman" w:cs="Times New Roman"/>
        </w:rPr>
        <w:t>腐植酸》化工行业标准编制计划任务后，由上海化工研究院、中国农业科学院农业资源与农业区划研究所等单位及部分专家成立了《肥料增效剂</w:t>
      </w:r>
      <w:r>
        <w:rPr>
          <w:rFonts w:ascii="Times New Roman" w:hAnsi="Times New Roman" w:cs="Times New Roman" w:hint="eastAsia"/>
        </w:rPr>
        <w:t xml:space="preserve"> </w:t>
      </w:r>
      <w:r>
        <w:rPr>
          <w:rFonts w:ascii="Times New Roman" w:hAnsi="Times New Roman" w:cs="Times New Roman" w:hint="eastAsia"/>
        </w:rPr>
        <w:t>腐植酸</w:t>
      </w:r>
      <w:r>
        <w:rPr>
          <w:rFonts w:ascii="Times New Roman" w:hAnsi="Times New Roman" w:cs="Times New Roman"/>
        </w:rPr>
        <w:t>》化工行业标准制定工作组，开展了本标准制定的各项工作。</w:t>
      </w:r>
    </w:p>
    <w:p w14:paraId="72F596BC" w14:textId="77777777" w:rsidR="0059414D" w:rsidRDefault="0051453F" w:rsidP="003D7B69">
      <w:pPr>
        <w:numPr>
          <w:ilvl w:val="0"/>
          <w:numId w:val="1"/>
        </w:numPr>
        <w:adjustRightInd w:val="0"/>
        <w:snapToGrid w:val="0"/>
        <w:spacing w:line="400" w:lineRule="exact"/>
        <w:rPr>
          <w:rFonts w:ascii="Times New Roman" w:hAnsi="Times New Roman" w:cs="Times New Roman"/>
        </w:rPr>
      </w:pPr>
      <w:r>
        <w:rPr>
          <w:rFonts w:ascii="Times New Roman" w:hAnsi="Times New Roman" w:cs="Times New Roman" w:hint="eastAsia"/>
        </w:rPr>
        <w:t>参考相关资料</w:t>
      </w:r>
    </w:p>
    <w:p w14:paraId="52A4AE05" w14:textId="77777777" w:rsidR="0059414D" w:rsidRDefault="0051453F" w:rsidP="003D7B69">
      <w:pPr>
        <w:pStyle w:val="af1"/>
        <w:snapToGrid w:val="0"/>
        <w:spacing w:line="400" w:lineRule="exact"/>
        <w:rPr>
          <w:rFonts w:ascii="Times New Roman"/>
        </w:rPr>
      </w:pPr>
      <w:r>
        <w:rPr>
          <w:rFonts w:ascii="Times New Roman" w:hint="eastAsia"/>
        </w:rPr>
        <w:t xml:space="preserve">GB/T 6679  </w:t>
      </w:r>
      <w:r>
        <w:rPr>
          <w:rFonts w:ascii="Times New Roman" w:hint="eastAsia"/>
        </w:rPr>
        <w:t>固体化工产品采样通则</w:t>
      </w:r>
    </w:p>
    <w:p w14:paraId="12B4DC3F" w14:textId="77777777" w:rsidR="0059414D" w:rsidRDefault="0051453F" w:rsidP="003D7B69">
      <w:pPr>
        <w:pStyle w:val="af1"/>
        <w:snapToGrid w:val="0"/>
        <w:spacing w:line="400" w:lineRule="exact"/>
        <w:rPr>
          <w:rFonts w:ascii="Times New Roman"/>
        </w:rPr>
      </w:pPr>
      <w:r>
        <w:rPr>
          <w:rFonts w:ascii="Times New Roman" w:hint="eastAsia"/>
        </w:rPr>
        <w:t xml:space="preserve">GB/T 6680  </w:t>
      </w:r>
      <w:r>
        <w:rPr>
          <w:rFonts w:ascii="Times New Roman" w:hint="eastAsia"/>
        </w:rPr>
        <w:t>液体化工产品采样通则</w:t>
      </w:r>
    </w:p>
    <w:p w14:paraId="3F721BFA" w14:textId="77777777" w:rsidR="0059414D" w:rsidRDefault="0051453F" w:rsidP="003D7B69">
      <w:pPr>
        <w:pStyle w:val="af1"/>
        <w:snapToGrid w:val="0"/>
        <w:spacing w:line="400" w:lineRule="exact"/>
        <w:rPr>
          <w:rFonts w:ascii="Times New Roman"/>
        </w:rPr>
      </w:pPr>
      <w:r>
        <w:rPr>
          <w:rFonts w:ascii="Times New Roman" w:hint="eastAsia"/>
        </w:rPr>
        <w:t xml:space="preserve">GB/T 6682  </w:t>
      </w:r>
      <w:r>
        <w:rPr>
          <w:rFonts w:ascii="Times New Roman" w:hint="eastAsia"/>
        </w:rPr>
        <w:t>分析实验室用水规格和试验方法</w:t>
      </w:r>
    </w:p>
    <w:p w14:paraId="17A81D6A" w14:textId="77777777" w:rsidR="0059414D" w:rsidRDefault="0051453F" w:rsidP="003D7B69">
      <w:pPr>
        <w:pStyle w:val="af1"/>
        <w:snapToGrid w:val="0"/>
        <w:spacing w:line="400" w:lineRule="exact"/>
        <w:rPr>
          <w:rFonts w:ascii="Times New Roman"/>
        </w:rPr>
      </w:pPr>
      <w:r>
        <w:rPr>
          <w:rFonts w:ascii="Times New Roman" w:hint="eastAsia"/>
        </w:rPr>
        <w:t xml:space="preserve">GB/T </w:t>
      </w:r>
      <w:r>
        <w:rPr>
          <w:rFonts w:ascii="Times New Roman"/>
        </w:rPr>
        <w:t>8170</w:t>
      </w:r>
      <w:r>
        <w:rPr>
          <w:rFonts w:ascii="Times New Roman" w:hint="eastAsia"/>
        </w:rPr>
        <w:t xml:space="preserve">  </w:t>
      </w:r>
      <w:r>
        <w:rPr>
          <w:rFonts w:ascii="Times New Roman" w:hint="eastAsia"/>
        </w:rPr>
        <w:t>极限数值的表示方法和判定方法</w:t>
      </w:r>
    </w:p>
    <w:p w14:paraId="277D2BF3" w14:textId="77777777" w:rsidR="0059414D" w:rsidRDefault="0051453F" w:rsidP="003D7B69">
      <w:pPr>
        <w:pStyle w:val="af1"/>
        <w:snapToGrid w:val="0"/>
        <w:spacing w:line="400" w:lineRule="exact"/>
        <w:rPr>
          <w:rFonts w:ascii="Times New Roman"/>
        </w:rPr>
      </w:pPr>
      <w:r>
        <w:rPr>
          <w:rFonts w:ascii="Times New Roman" w:hint="eastAsia"/>
        </w:rPr>
        <w:t>GB</w:t>
      </w:r>
      <w:r>
        <w:rPr>
          <w:rFonts w:ascii="Times New Roman"/>
        </w:rPr>
        <w:t>/T</w:t>
      </w:r>
      <w:r>
        <w:rPr>
          <w:rFonts w:ascii="Times New Roman" w:hint="eastAsia"/>
        </w:rPr>
        <w:t xml:space="preserve"> 8569  </w:t>
      </w:r>
      <w:r>
        <w:rPr>
          <w:rFonts w:ascii="Times New Roman" w:hint="eastAsia"/>
        </w:rPr>
        <w:t>固体化学肥料包装</w:t>
      </w:r>
    </w:p>
    <w:p w14:paraId="080BC4D9" w14:textId="77777777" w:rsidR="0059414D" w:rsidRDefault="0051453F" w:rsidP="003D7B69">
      <w:pPr>
        <w:pStyle w:val="af1"/>
        <w:snapToGrid w:val="0"/>
        <w:spacing w:line="400" w:lineRule="exact"/>
        <w:rPr>
          <w:rFonts w:ascii="Times New Roman"/>
          <w:szCs w:val="22"/>
        </w:rPr>
      </w:pPr>
      <w:r>
        <w:rPr>
          <w:rFonts w:ascii="Times New Roman" w:hint="eastAsia"/>
        </w:rPr>
        <w:t>GB</w:t>
      </w:r>
      <w:r>
        <w:rPr>
          <w:rFonts w:ascii="Times New Roman"/>
        </w:rPr>
        <w:t>/T</w:t>
      </w:r>
      <w:r>
        <w:rPr>
          <w:rFonts w:ascii="Times New Roman" w:hint="eastAsia"/>
        </w:rPr>
        <w:t xml:space="preserve"> 8576  </w:t>
      </w:r>
      <w:r>
        <w:rPr>
          <w:rFonts w:ascii="Times New Roman" w:hint="eastAsia"/>
          <w:szCs w:val="22"/>
        </w:rPr>
        <w:t>复混肥料中游离水含量的测定</w:t>
      </w:r>
      <w:r>
        <w:rPr>
          <w:rFonts w:ascii="Times New Roman" w:hint="eastAsia"/>
          <w:szCs w:val="22"/>
        </w:rPr>
        <w:t xml:space="preserve"> </w:t>
      </w:r>
      <w:r>
        <w:rPr>
          <w:rFonts w:ascii="Times New Roman" w:hint="eastAsia"/>
          <w:szCs w:val="22"/>
        </w:rPr>
        <w:t>真空烘箱法</w:t>
      </w:r>
    </w:p>
    <w:p w14:paraId="468B7BD1" w14:textId="77777777" w:rsidR="0059414D" w:rsidRDefault="0051453F" w:rsidP="003D7B69">
      <w:pPr>
        <w:pStyle w:val="af1"/>
        <w:snapToGrid w:val="0"/>
        <w:spacing w:line="400" w:lineRule="exact"/>
        <w:rPr>
          <w:rFonts w:ascii="Times New Roman"/>
          <w:szCs w:val="22"/>
        </w:rPr>
      </w:pPr>
      <w:r>
        <w:rPr>
          <w:rFonts w:ascii="Times New Roman" w:hint="eastAsia"/>
          <w:szCs w:val="22"/>
        </w:rPr>
        <w:t xml:space="preserve">GB/T 10247 </w:t>
      </w:r>
      <w:r>
        <w:rPr>
          <w:rFonts w:ascii="Times New Roman" w:hint="eastAsia"/>
          <w:szCs w:val="22"/>
        </w:rPr>
        <w:t>粘度测量方法</w:t>
      </w:r>
    </w:p>
    <w:p w14:paraId="7019E999" w14:textId="77777777" w:rsidR="0059414D" w:rsidRDefault="0051453F" w:rsidP="003D7B69">
      <w:pPr>
        <w:pStyle w:val="af1"/>
        <w:snapToGrid w:val="0"/>
        <w:spacing w:line="400" w:lineRule="exact"/>
        <w:rPr>
          <w:rFonts w:ascii="Times New Roman"/>
        </w:rPr>
      </w:pPr>
      <w:r>
        <w:rPr>
          <w:rFonts w:ascii="Times New Roman" w:hint="eastAsia"/>
        </w:rPr>
        <w:t xml:space="preserve">GB 18382   </w:t>
      </w:r>
      <w:r>
        <w:rPr>
          <w:rFonts w:ascii="Times New Roman" w:hint="eastAsia"/>
        </w:rPr>
        <w:t>肥料标识</w:t>
      </w:r>
      <w:r>
        <w:rPr>
          <w:rFonts w:ascii="Times New Roman" w:hint="eastAsia"/>
        </w:rPr>
        <w:t xml:space="preserve"> </w:t>
      </w:r>
      <w:r>
        <w:rPr>
          <w:rFonts w:ascii="Times New Roman" w:hint="eastAsia"/>
        </w:rPr>
        <w:t>内容和要求</w:t>
      </w:r>
    </w:p>
    <w:p w14:paraId="2D238945" w14:textId="77777777" w:rsidR="0059414D" w:rsidRDefault="0051453F" w:rsidP="003D7B69">
      <w:pPr>
        <w:pStyle w:val="af1"/>
        <w:snapToGrid w:val="0"/>
        <w:spacing w:line="400" w:lineRule="exact"/>
        <w:rPr>
          <w:rFonts w:ascii="Times New Roman"/>
          <w:szCs w:val="22"/>
        </w:rPr>
      </w:pPr>
      <w:r>
        <w:rPr>
          <w:rFonts w:ascii="Times New Roman" w:hint="eastAsia"/>
          <w:szCs w:val="22"/>
        </w:rPr>
        <w:t xml:space="preserve">GB/T 23349 </w:t>
      </w:r>
      <w:r>
        <w:rPr>
          <w:rFonts w:ascii="Times New Roman" w:hint="eastAsia"/>
          <w:szCs w:val="22"/>
        </w:rPr>
        <w:t>肥料中砷、镉、铅、铬、汞生态指标</w:t>
      </w:r>
    </w:p>
    <w:p w14:paraId="4755EB1E" w14:textId="77777777" w:rsidR="0059414D" w:rsidRDefault="0051453F" w:rsidP="003D7B69">
      <w:pPr>
        <w:pStyle w:val="af1"/>
        <w:snapToGrid w:val="0"/>
        <w:spacing w:line="400" w:lineRule="exact"/>
        <w:rPr>
          <w:rFonts w:ascii="Times New Roman"/>
        </w:rPr>
      </w:pPr>
      <w:r>
        <w:rPr>
          <w:rFonts w:ascii="Times New Roman" w:hint="eastAsia"/>
        </w:rPr>
        <w:t xml:space="preserve">HG/T 2843  </w:t>
      </w:r>
      <w:r>
        <w:rPr>
          <w:rFonts w:ascii="Times New Roman" w:hint="eastAsia"/>
        </w:rPr>
        <w:t>化肥产品</w:t>
      </w:r>
      <w:r>
        <w:rPr>
          <w:rFonts w:ascii="Times New Roman" w:hint="eastAsia"/>
        </w:rPr>
        <w:t xml:space="preserve"> </w:t>
      </w:r>
      <w:r>
        <w:rPr>
          <w:rFonts w:ascii="Times New Roman" w:hint="eastAsia"/>
        </w:rPr>
        <w:t>化学分析常用标准滴定溶液、标准溶液、试剂溶液和指示剂溶液</w:t>
      </w:r>
    </w:p>
    <w:p w14:paraId="4629A993" w14:textId="77777777" w:rsidR="0059414D" w:rsidRDefault="0051453F" w:rsidP="003D7B69">
      <w:pPr>
        <w:pStyle w:val="af1"/>
        <w:snapToGrid w:val="0"/>
        <w:spacing w:line="400" w:lineRule="exact"/>
        <w:rPr>
          <w:rFonts w:ascii="Times New Roman"/>
        </w:rPr>
      </w:pPr>
      <w:r>
        <w:rPr>
          <w:rFonts w:ascii="Times New Roman" w:hint="eastAsia"/>
          <w:szCs w:val="22"/>
        </w:rPr>
        <w:t xml:space="preserve">NY/T 1108  </w:t>
      </w:r>
      <w:r>
        <w:rPr>
          <w:rFonts w:ascii="Times New Roman" w:hint="eastAsia"/>
        </w:rPr>
        <w:t>液体肥料</w:t>
      </w:r>
      <w:r>
        <w:rPr>
          <w:rFonts w:ascii="Times New Roman" w:hint="eastAsia"/>
        </w:rPr>
        <w:t xml:space="preserve"> </w:t>
      </w:r>
      <w:r>
        <w:rPr>
          <w:rFonts w:ascii="Times New Roman" w:hint="eastAsia"/>
        </w:rPr>
        <w:t>包装技术要求</w:t>
      </w:r>
    </w:p>
    <w:p w14:paraId="475B57C6" w14:textId="77777777" w:rsidR="0059414D" w:rsidRDefault="0051453F" w:rsidP="003D7B69">
      <w:pPr>
        <w:pStyle w:val="af1"/>
        <w:snapToGrid w:val="0"/>
        <w:spacing w:line="400" w:lineRule="exact"/>
        <w:rPr>
          <w:rFonts w:ascii="Times New Roman"/>
          <w:szCs w:val="22"/>
        </w:rPr>
      </w:pPr>
      <w:r>
        <w:rPr>
          <w:rFonts w:ascii="Times New Roman" w:hint="eastAsia"/>
          <w:szCs w:val="22"/>
        </w:rPr>
        <w:t xml:space="preserve">NY/T 1971  </w:t>
      </w:r>
      <w:r>
        <w:rPr>
          <w:rFonts w:ascii="Times New Roman" w:hint="eastAsia"/>
          <w:szCs w:val="22"/>
        </w:rPr>
        <w:t>水溶肥料</w:t>
      </w:r>
      <w:r>
        <w:rPr>
          <w:rFonts w:ascii="Times New Roman" w:hint="eastAsia"/>
          <w:szCs w:val="22"/>
        </w:rPr>
        <w:t xml:space="preserve"> </w:t>
      </w:r>
      <w:r>
        <w:rPr>
          <w:rFonts w:ascii="Times New Roman" w:hint="eastAsia"/>
          <w:szCs w:val="22"/>
        </w:rPr>
        <w:t>腐植酸含量的测定</w:t>
      </w:r>
    </w:p>
    <w:p w14:paraId="16432BF0" w14:textId="77777777" w:rsidR="0059414D" w:rsidRDefault="0051453F" w:rsidP="003D7B69">
      <w:pPr>
        <w:pStyle w:val="af1"/>
        <w:snapToGrid w:val="0"/>
        <w:spacing w:line="400" w:lineRule="exact"/>
        <w:rPr>
          <w:rFonts w:ascii="Times New Roman"/>
          <w:szCs w:val="22"/>
        </w:rPr>
      </w:pPr>
      <w:r>
        <w:rPr>
          <w:rFonts w:ascii="Times New Roman" w:hint="eastAsia"/>
          <w:szCs w:val="22"/>
        </w:rPr>
        <w:t xml:space="preserve">NY/T 1973  </w:t>
      </w:r>
      <w:r>
        <w:rPr>
          <w:rFonts w:ascii="Times New Roman" w:hint="eastAsia"/>
          <w:szCs w:val="22"/>
        </w:rPr>
        <w:t>水溶肥料</w:t>
      </w:r>
      <w:r>
        <w:rPr>
          <w:rFonts w:ascii="Times New Roman" w:hint="eastAsia"/>
          <w:szCs w:val="22"/>
        </w:rPr>
        <w:t xml:space="preserve"> </w:t>
      </w:r>
      <w:r>
        <w:rPr>
          <w:rFonts w:ascii="Times New Roman" w:hint="eastAsia"/>
          <w:szCs w:val="22"/>
        </w:rPr>
        <w:t>水不溶物含量和</w:t>
      </w:r>
      <w:r>
        <w:rPr>
          <w:rFonts w:ascii="Times New Roman" w:hint="eastAsia"/>
          <w:szCs w:val="22"/>
        </w:rPr>
        <w:t>pH</w:t>
      </w:r>
      <w:r>
        <w:rPr>
          <w:rFonts w:ascii="Times New Roman" w:hint="eastAsia"/>
          <w:szCs w:val="22"/>
        </w:rPr>
        <w:t>的测定</w:t>
      </w:r>
    </w:p>
    <w:p w14:paraId="29F943F8" w14:textId="77777777" w:rsidR="0059414D" w:rsidRDefault="0051453F" w:rsidP="003D7B69">
      <w:pPr>
        <w:numPr>
          <w:ilvl w:val="0"/>
          <w:numId w:val="1"/>
        </w:numPr>
        <w:adjustRightInd w:val="0"/>
        <w:snapToGrid w:val="0"/>
        <w:spacing w:line="400" w:lineRule="exact"/>
        <w:rPr>
          <w:rFonts w:ascii="Times New Roman" w:hAnsi="Times New Roman" w:cs="Times New Roman"/>
        </w:rPr>
      </w:pPr>
      <w:r>
        <w:rPr>
          <w:rFonts w:ascii="Times New Roman" w:hAnsi="Times New Roman" w:cs="Times New Roman" w:hint="eastAsia"/>
        </w:rPr>
        <w:t>标准研究方案</w:t>
      </w:r>
    </w:p>
    <w:p w14:paraId="5AB15A42" w14:textId="77777777" w:rsidR="0059414D" w:rsidRDefault="0051453F" w:rsidP="003D7B69">
      <w:pPr>
        <w:pStyle w:val="af1"/>
        <w:adjustRightInd w:val="0"/>
        <w:snapToGrid w:val="0"/>
        <w:spacing w:line="400" w:lineRule="exact"/>
        <w:rPr>
          <w:rFonts w:ascii="Times New Roman"/>
          <w:szCs w:val="21"/>
        </w:rPr>
      </w:pPr>
      <w:r>
        <w:rPr>
          <w:rFonts w:ascii="Times New Roman"/>
          <w:szCs w:val="21"/>
        </w:rPr>
        <w:t>根据查阅到的标准、文献等相关资料，并通过一系列的预试验，标准制定工作组</w:t>
      </w:r>
      <w:bookmarkStart w:id="0" w:name="OLE_LINK3"/>
      <w:r>
        <w:rPr>
          <w:rFonts w:ascii="Times New Roman" w:hint="eastAsia"/>
          <w:szCs w:val="21"/>
        </w:rPr>
        <w:t>本着创新、实用的原则</w:t>
      </w:r>
      <w:r>
        <w:rPr>
          <w:rFonts w:ascii="Times New Roman"/>
          <w:szCs w:val="21"/>
        </w:rPr>
        <w:t>，</w:t>
      </w:r>
      <w:r>
        <w:rPr>
          <w:rFonts w:ascii="Times New Roman" w:hint="eastAsia"/>
          <w:szCs w:val="21"/>
        </w:rPr>
        <w:t>确定了腐植酸液体剂型、活性腐植酸指数作为评价腐植酸肥料增效剂活性</w:t>
      </w:r>
      <w:r>
        <w:rPr>
          <w:rFonts w:ascii="Times New Roman" w:hint="eastAsia"/>
          <w:szCs w:val="21"/>
        </w:rPr>
        <w:lastRenderedPageBreak/>
        <w:t>高低的指标，在液体类型腐植酸中增加粘度作为生产质量控制指标。</w:t>
      </w:r>
      <w:r>
        <w:rPr>
          <w:rFonts w:ascii="Times New Roman"/>
          <w:szCs w:val="21"/>
        </w:rPr>
        <w:t>并确定了指标的具体检测方法。</w:t>
      </w:r>
      <w:bookmarkEnd w:id="0"/>
      <w:r>
        <w:rPr>
          <w:rFonts w:ascii="Times New Roman"/>
          <w:szCs w:val="21"/>
        </w:rPr>
        <w:t>检验规则，标识，包装、运输和贮存等要求参考了</w:t>
      </w:r>
      <w:r>
        <w:rPr>
          <w:rFonts w:ascii="Times New Roman" w:hint="eastAsia"/>
          <w:szCs w:val="21"/>
        </w:rPr>
        <w:t>HG/T3278</w:t>
      </w:r>
      <w:r>
        <w:rPr>
          <w:rFonts w:ascii="Times New Roman" w:hint="eastAsia"/>
          <w:szCs w:val="21"/>
        </w:rPr>
        <w:t>以及</w:t>
      </w:r>
      <w:r>
        <w:rPr>
          <w:rFonts w:ascii="Times New Roman" w:hint="eastAsia"/>
          <w:szCs w:val="21"/>
        </w:rPr>
        <w:t>NY/T 1108</w:t>
      </w:r>
      <w:r>
        <w:rPr>
          <w:rFonts w:ascii="Times New Roman"/>
          <w:szCs w:val="21"/>
        </w:rPr>
        <w:t>的规定。</w:t>
      </w:r>
    </w:p>
    <w:p w14:paraId="60E075A9" w14:textId="77777777" w:rsidR="0059414D" w:rsidRDefault="0051453F" w:rsidP="003D7B69">
      <w:pPr>
        <w:autoSpaceDE w:val="0"/>
        <w:autoSpaceDN w:val="0"/>
        <w:adjustRightInd w:val="0"/>
        <w:snapToGrid w:val="0"/>
        <w:spacing w:line="40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2019</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25</w:t>
      </w:r>
      <w:r>
        <w:rPr>
          <w:rFonts w:ascii="Times New Roman" w:eastAsia="宋体" w:hAnsi="Times New Roman" w:cs="Times New Roman" w:hint="eastAsia"/>
          <w:kern w:val="0"/>
          <w:szCs w:val="21"/>
        </w:rPr>
        <w:t>日，中国农业科学院农业资源与农业区划研究所等相关标准起草单位讨论标准指标及起草计划，开展标准的样品收集、试验研究工作。</w:t>
      </w:r>
    </w:p>
    <w:p w14:paraId="1E0EAC83" w14:textId="77777777" w:rsidR="0059414D" w:rsidRDefault="0051453F" w:rsidP="003D7B69">
      <w:pPr>
        <w:autoSpaceDE w:val="0"/>
        <w:autoSpaceDN w:val="0"/>
        <w:adjustRightInd w:val="0"/>
        <w:snapToGrid w:val="0"/>
        <w:spacing w:line="40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2019</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15</w:t>
      </w:r>
      <w:r>
        <w:rPr>
          <w:rFonts w:ascii="Times New Roman" w:eastAsia="宋体" w:hAnsi="Times New Roman" w:cs="Times New Roman" w:hint="eastAsia"/>
          <w:kern w:val="0"/>
          <w:szCs w:val="21"/>
        </w:rPr>
        <w:t>日</w:t>
      </w:r>
      <w:r>
        <w:rPr>
          <w:rFonts w:ascii="Times New Roman" w:eastAsia="宋体" w:hAnsi="Times New Roman" w:cs="Times New Roman"/>
          <w:kern w:val="0"/>
          <w:szCs w:val="21"/>
        </w:rPr>
        <w:t>，各</w:t>
      </w:r>
      <w:r>
        <w:rPr>
          <w:rFonts w:ascii="Times New Roman" w:eastAsia="宋体" w:hAnsi="Times New Roman" w:cs="Times New Roman" w:hint="eastAsia"/>
          <w:kern w:val="0"/>
          <w:szCs w:val="21"/>
        </w:rPr>
        <w:t>标准起草单位在北京成立标准起草小组，讨论《肥料增效剂</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腐植酸》的指标、检测方法等工作进展。</w:t>
      </w:r>
    </w:p>
    <w:p w14:paraId="33FCE872" w14:textId="77777777" w:rsidR="0059414D" w:rsidRDefault="0051453F" w:rsidP="003D7B69">
      <w:pPr>
        <w:autoSpaceDE w:val="0"/>
        <w:autoSpaceDN w:val="0"/>
        <w:adjustRightInd w:val="0"/>
        <w:snapToGrid w:val="0"/>
        <w:spacing w:line="40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2019</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20</w:t>
      </w:r>
      <w:r>
        <w:rPr>
          <w:rFonts w:ascii="Times New Roman" w:eastAsia="宋体" w:hAnsi="Times New Roman" w:cs="Times New Roman" w:hint="eastAsia"/>
          <w:kern w:val="0"/>
          <w:szCs w:val="21"/>
        </w:rPr>
        <w:t>日，</w:t>
      </w:r>
      <w:r>
        <w:rPr>
          <w:rFonts w:ascii="Times New Roman" w:eastAsia="宋体" w:hAnsi="Times New Roman" w:cs="Times New Roman"/>
          <w:kern w:val="0"/>
          <w:szCs w:val="21"/>
        </w:rPr>
        <w:t>试验验证；工作组召开二次会议，针对试验方法研讨论证。</w:t>
      </w:r>
    </w:p>
    <w:p w14:paraId="086E2280" w14:textId="77777777" w:rsidR="0059414D" w:rsidRDefault="0051453F" w:rsidP="003D7B69">
      <w:pPr>
        <w:autoSpaceDE w:val="0"/>
        <w:autoSpaceDN w:val="0"/>
        <w:adjustRightInd w:val="0"/>
        <w:snapToGrid w:val="0"/>
        <w:spacing w:line="40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7</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2019</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-10</w:t>
      </w:r>
      <w:r>
        <w:rPr>
          <w:rFonts w:ascii="Times New Roman" w:eastAsia="宋体" w:hAnsi="Times New Roman" w:cs="Times New Roman" w:hint="eastAsia"/>
          <w:kern w:val="0"/>
          <w:szCs w:val="21"/>
        </w:rPr>
        <w:t>月，</w:t>
      </w:r>
      <w:r>
        <w:rPr>
          <w:rFonts w:ascii="Times New Roman" w:eastAsia="宋体" w:hAnsi="Times New Roman" w:cs="Times New Roman"/>
          <w:kern w:val="0"/>
          <w:szCs w:val="21"/>
        </w:rPr>
        <w:t>进一步试验验证，并形成修订后的标准征求意见稿</w:t>
      </w:r>
      <w:r>
        <w:rPr>
          <w:rFonts w:ascii="Times New Roman" w:eastAsia="宋体" w:hAnsi="Times New Roman" w:cs="Times New Roman" w:hint="eastAsia"/>
          <w:kern w:val="0"/>
          <w:szCs w:val="21"/>
        </w:rPr>
        <w:t>及标准编制说明</w:t>
      </w:r>
    </w:p>
    <w:p w14:paraId="042E4E1D" w14:textId="77777777" w:rsidR="0059414D" w:rsidRDefault="0051453F">
      <w:pPr>
        <w:numPr>
          <w:ilvl w:val="0"/>
          <w:numId w:val="2"/>
        </w:num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标准编制原则和主要内容</w:t>
      </w:r>
    </w:p>
    <w:p w14:paraId="7F775831"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（一）标准研究背景</w:t>
      </w:r>
    </w:p>
    <w:p w14:paraId="207F4FB5" w14:textId="77777777" w:rsidR="0059414D" w:rsidRDefault="0051453F" w:rsidP="005B7FE6">
      <w:pPr>
        <w:pStyle w:val="af1"/>
        <w:adjustRightInd w:val="0"/>
        <w:snapToGrid w:val="0"/>
        <w:spacing w:line="300" w:lineRule="auto"/>
        <w:rPr>
          <w:rFonts w:ascii="Times New Roman"/>
          <w:szCs w:val="21"/>
        </w:rPr>
      </w:pPr>
      <w:r>
        <w:rPr>
          <w:rFonts w:ascii="Times New Roman" w:hint="eastAsia"/>
          <w:szCs w:val="21"/>
        </w:rPr>
        <w:t>肥料的改性增效技术有物理、化学及生物等多种途径，增效剂</w:t>
      </w:r>
      <w:r>
        <w:rPr>
          <w:rFonts w:ascii="Times New Roman" w:hint="eastAsia"/>
          <w:szCs w:val="21"/>
        </w:rPr>
        <w:t>/</w:t>
      </w:r>
      <w:r>
        <w:rPr>
          <w:rFonts w:ascii="Times New Roman" w:hint="eastAsia"/>
          <w:szCs w:val="21"/>
        </w:rPr>
        <w:t>增效载体是最常用的肥料改性增效技术之一，许多国家都在通过开发肥料增效剂对化肥进行改性增效。</w:t>
      </w:r>
      <w:r>
        <w:rPr>
          <w:rFonts w:ascii="Times New Roman" w:hint="eastAsia"/>
          <w:szCs w:val="21"/>
        </w:rPr>
        <w:t>2011</w:t>
      </w:r>
      <w:r>
        <w:rPr>
          <w:rFonts w:ascii="Times New Roman" w:hint="eastAsia"/>
          <w:szCs w:val="21"/>
        </w:rPr>
        <w:t>年，欧洲成立了“欧洲生物刺激素产业联盟</w:t>
      </w:r>
      <w:r>
        <w:rPr>
          <w:rFonts w:ascii="Times New Roman" w:hint="eastAsia"/>
          <w:szCs w:val="21"/>
        </w:rPr>
        <w:t>(http://www.biostimulants.eu)</w:t>
      </w:r>
      <w:r>
        <w:rPr>
          <w:rFonts w:ascii="Times New Roman" w:hint="eastAsia"/>
          <w:szCs w:val="21"/>
        </w:rPr>
        <w:t>”，开发了海洋生物产品、腐植酸类、氨基酸类、微生物类等生物刺激素产品，促进了肥料增效剂在农业中的应用。许多天然提取物及改性产品，如海藻提取物、腐植酸、氨基酸改性产品等具有提高根系活性、抑制氨挥发、减缓磷钾在土壤中的固定、促进作物对养分吸收的作用，可通过调节养分的释放、影响养分的转化过程、调节土壤环境等，提高肥料利用率，增加作物产量、改善农产品品质，并且安全环保，是对化肥改性增效的理想材料。因此，利用天然物质研发增效剂，开发产能高、成本低、效果好、安全环保的增值肥料新产品成为重要的研究方向，肥料增值技术或发展增值肥料（</w:t>
      </w:r>
      <w:r>
        <w:rPr>
          <w:rFonts w:ascii="Times New Roman" w:hint="eastAsia"/>
          <w:szCs w:val="21"/>
        </w:rPr>
        <w:t>Value-added Fertilizer</w:t>
      </w:r>
      <w:r>
        <w:rPr>
          <w:rFonts w:ascii="Times New Roman" w:hint="eastAsia"/>
          <w:szCs w:val="21"/>
        </w:rPr>
        <w:t>）成为国内外新型肥料研究的重要方向之一。</w:t>
      </w:r>
    </w:p>
    <w:p w14:paraId="4F2188A0" w14:textId="77777777" w:rsidR="0059414D" w:rsidRDefault="0051453F" w:rsidP="005B7FE6">
      <w:pPr>
        <w:pStyle w:val="af1"/>
        <w:adjustRightInd w:val="0"/>
        <w:snapToGrid w:val="0"/>
        <w:spacing w:line="300" w:lineRule="auto"/>
        <w:rPr>
          <w:rFonts w:ascii="Times New Roman"/>
          <w:szCs w:val="21"/>
        </w:rPr>
      </w:pPr>
      <w:r>
        <w:rPr>
          <w:rFonts w:ascii="Times New Roman" w:hint="eastAsia"/>
          <w:szCs w:val="21"/>
        </w:rPr>
        <w:t>继《含腐植酸水溶肥料》、《含腐植酸尿素》、《含腐植酸磷酸一铵、磷酸二铵》等腐植酸类先关标准的出台，标志着腐植酸增值肥料产业的形成。</w:t>
      </w:r>
    </w:p>
    <w:p w14:paraId="548352F7" w14:textId="77777777" w:rsidR="0059414D" w:rsidRDefault="0051453F" w:rsidP="005B7FE6">
      <w:pPr>
        <w:pStyle w:val="af1"/>
        <w:adjustRightInd w:val="0"/>
        <w:snapToGrid w:val="0"/>
        <w:spacing w:line="300" w:lineRule="auto"/>
        <w:rPr>
          <w:rFonts w:ascii="Times New Roman"/>
          <w:szCs w:val="21"/>
        </w:rPr>
      </w:pPr>
      <w:r>
        <w:rPr>
          <w:rFonts w:ascii="Times New Roman" w:hint="eastAsia"/>
          <w:szCs w:val="21"/>
        </w:rPr>
        <w:t>以腐植酸作为肥料增效剂可以通过综合调控“作物</w:t>
      </w:r>
      <w:r>
        <w:rPr>
          <w:rFonts w:ascii="Times New Roman" w:hint="eastAsia"/>
          <w:szCs w:val="21"/>
        </w:rPr>
        <w:t>-</w:t>
      </w:r>
      <w:r>
        <w:rPr>
          <w:rFonts w:ascii="Times New Roman" w:hint="eastAsia"/>
          <w:szCs w:val="21"/>
        </w:rPr>
        <w:t>肥料</w:t>
      </w:r>
      <w:r>
        <w:rPr>
          <w:rFonts w:ascii="Times New Roman" w:hint="eastAsia"/>
          <w:szCs w:val="21"/>
        </w:rPr>
        <w:t>-</w:t>
      </w:r>
      <w:r>
        <w:rPr>
          <w:rFonts w:ascii="Times New Roman" w:hint="eastAsia"/>
          <w:szCs w:val="21"/>
        </w:rPr>
        <w:t>土壤”系统，大幅度提高肥料利用率。研究资料表明，不同分子量、不同</w:t>
      </w:r>
      <w:r>
        <w:rPr>
          <w:rFonts w:ascii="Times New Roman" w:hint="eastAsia"/>
          <w:szCs w:val="21"/>
        </w:rPr>
        <w:t>pH</w:t>
      </w:r>
      <w:r>
        <w:rPr>
          <w:rFonts w:ascii="Times New Roman" w:hint="eastAsia"/>
          <w:szCs w:val="21"/>
        </w:rPr>
        <w:t>段腐植酸的酸性官能团、脂肪碳和芳香</w:t>
      </w:r>
      <w:r>
        <w:rPr>
          <w:rFonts w:ascii="Times New Roman" w:hint="eastAsia"/>
          <w:szCs w:val="21"/>
        </w:rPr>
        <w:t>C-H</w:t>
      </w:r>
      <w:r>
        <w:rPr>
          <w:rFonts w:ascii="Times New Roman" w:hint="eastAsia"/>
          <w:szCs w:val="21"/>
        </w:rPr>
        <w:t>含量差异较大；以一定分子量和</w:t>
      </w:r>
      <w:r>
        <w:rPr>
          <w:rFonts w:ascii="Times New Roman" w:hint="eastAsia"/>
          <w:szCs w:val="21"/>
        </w:rPr>
        <w:t>pH</w:t>
      </w:r>
      <w:r>
        <w:rPr>
          <w:rFonts w:ascii="Times New Roman" w:hint="eastAsia"/>
          <w:szCs w:val="21"/>
        </w:rPr>
        <w:t>段腐植酸对尿素向铵态氮转化、铵态氮向硝态氮转化的影响较大，腐植酸对磷有效性的影响取决于分子量大小和酸性官能团含量。腐植酸肥料增效剂及其相应改性增效的尿素、磷铵、复合肥产品的产业化技术成熟，已在国内形成较大的产业化规模。</w:t>
      </w:r>
      <w:r>
        <w:rPr>
          <w:rFonts w:ascii="Times New Roman" w:hint="eastAsia"/>
          <w:szCs w:val="21"/>
        </w:rPr>
        <w:t>201</w:t>
      </w:r>
      <w:r w:rsidR="00214C75">
        <w:rPr>
          <w:rFonts w:ascii="Times New Roman" w:hint="eastAsia"/>
          <w:szCs w:val="21"/>
        </w:rPr>
        <w:t>9</w:t>
      </w:r>
      <w:r>
        <w:rPr>
          <w:rFonts w:ascii="Times New Roman" w:hint="eastAsia"/>
          <w:szCs w:val="21"/>
        </w:rPr>
        <w:t>年底，添加腐植酸肥料增效剂的含腐植酸尿素、含腐植酸磷铵、腐植酸复合肥料等产品产能超过</w:t>
      </w:r>
      <w:r>
        <w:rPr>
          <w:rFonts w:ascii="Times New Roman" w:hint="eastAsia"/>
          <w:szCs w:val="21"/>
        </w:rPr>
        <w:t>1000</w:t>
      </w:r>
      <w:r>
        <w:rPr>
          <w:rFonts w:ascii="Times New Roman" w:hint="eastAsia"/>
          <w:szCs w:val="21"/>
        </w:rPr>
        <w:t>万吨，产量</w:t>
      </w:r>
      <w:r w:rsidR="00214C75">
        <w:rPr>
          <w:rFonts w:ascii="Times New Roman" w:hint="eastAsia"/>
          <w:szCs w:val="21"/>
        </w:rPr>
        <w:t>5</w:t>
      </w:r>
      <w:r>
        <w:rPr>
          <w:rFonts w:ascii="Times New Roman" w:hint="eastAsia"/>
          <w:szCs w:val="21"/>
        </w:rPr>
        <w:t>00</w:t>
      </w:r>
      <w:r>
        <w:rPr>
          <w:rFonts w:ascii="Times New Roman" w:hint="eastAsia"/>
          <w:szCs w:val="21"/>
        </w:rPr>
        <w:t>万吨。腐植酸肥料增效剂的质量直接决定系列腐植酸肥料产品的应用效果，因此，制定腐植酸肥料增效剂的标准，将有效规范该类产品的生产和应用，保证肥料企业应用的增效剂产品质量和效果。同时也能够推进化肥零增长和化肥减施增效，并可缓解当前产能过剩和同质化竞争的局面，促进腐植酸肥料增效剂产业健康发展。</w:t>
      </w:r>
    </w:p>
    <w:p w14:paraId="4D12BCB3"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二</w:t>
      </w:r>
      <w:r>
        <w:rPr>
          <w:rFonts w:ascii="Times New Roman" w:hAnsi="Times New Roman" w:cs="Times New Roman"/>
          <w:b/>
          <w:sz w:val="24"/>
          <w:szCs w:val="24"/>
        </w:rPr>
        <w:t>）标准编制原则</w:t>
      </w:r>
    </w:p>
    <w:p w14:paraId="62DDF93D"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、本标准的编制根据</w:t>
      </w:r>
      <w:r>
        <w:rPr>
          <w:rFonts w:ascii="Times New Roman" w:hAnsi="Times New Roman" w:cs="Times New Roman"/>
        </w:rPr>
        <w:t xml:space="preserve"> GB/T 1.1-2009</w:t>
      </w:r>
      <w:r>
        <w:rPr>
          <w:rFonts w:ascii="Times New Roman" w:hAnsi="Times New Roman" w:cs="Times New Roman"/>
        </w:rPr>
        <w:t>《标准化工作导则第</w:t>
      </w:r>
      <w:r>
        <w:rPr>
          <w:rFonts w:ascii="Times New Roman" w:hAnsi="Times New Roman" w:cs="Times New Roman"/>
        </w:rPr>
        <w:t xml:space="preserve">1 </w:t>
      </w:r>
      <w:r>
        <w:rPr>
          <w:rFonts w:ascii="Times New Roman" w:hAnsi="Times New Roman" w:cs="Times New Roman"/>
        </w:rPr>
        <w:t>部分：标准的结构与编写规则》的规定执行；</w:t>
      </w:r>
    </w:p>
    <w:p w14:paraId="78AF8DAC"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、以规范</w:t>
      </w:r>
      <w:r>
        <w:rPr>
          <w:rFonts w:ascii="Times New Roman" w:hAnsi="Times New Roman" w:cs="Times New Roman" w:hint="eastAsia"/>
        </w:rPr>
        <w:t>肥料增效剂</w:t>
      </w:r>
      <w:r>
        <w:rPr>
          <w:rFonts w:ascii="Times New Roman" w:hAnsi="Times New Roman" w:cs="Times New Roman" w:hint="eastAsia"/>
        </w:rPr>
        <w:t xml:space="preserve"> </w:t>
      </w:r>
      <w:r>
        <w:rPr>
          <w:rFonts w:ascii="Times New Roman" w:hAnsi="Times New Roman" w:cs="Times New Roman" w:hint="eastAsia"/>
        </w:rPr>
        <w:t>腐植酸</w:t>
      </w:r>
      <w:r>
        <w:rPr>
          <w:rFonts w:ascii="Times New Roman" w:hAnsi="Times New Roman" w:cs="Times New Roman"/>
        </w:rPr>
        <w:t>产品的生产、销售、使用和质量监督，促进产业健康发展为原则；</w:t>
      </w:r>
    </w:p>
    <w:p w14:paraId="01DAEAA3"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、具有科学性和可操作性并结合我国行业发展现状。</w:t>
      </w:r>
    </w:p>
    <w:p w14:paraId="4668191A"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hint="eastAsia"/>
          <w:b/>
          <w:sz w:val="24"/>
          <w:szCs w:val="24"/>
        </w:rPr>
        <w:t>三</w:t>
      </w:r>
      <w:r>
        <w:rPr>
          <w:rFonts w:ascii="Times New Roman" w:hAnsi="Times New Roman" w:cs="Times New Roman"/>
          <w:b/>
          <w:sz w:val="24"/>
          <w:szCs w:val="24"/>
        </w:rPr>
        <w:t>）标准指标和检测方法的论据</w:t>
      </w:r>
    </w:p>
    <w:p w14:paraId="2297C288"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rPr>
        <w:lastRenderedPageBreak/>
        <w:t>1</w:t>
      </w:r>
      <w:r>
        <w:rPr>
          <w:rFonts w:ascii="Times New Roman" w:hAnsi="Times New Roman" w:cs="Times New Roman"/>
        </w:rPr>
        <w:t>、腐植酸含量</w:t>
      </w:r>
    </w:p>
    <w:p w14:paraId="330E9BD8" w14:textId="77777777" w:rsidR="0059414D" w:rsidRDefault="0051453F">
      <w:pPr>
        <w:pStyle w:val="af1"/>
        <w:snapToGrid w:val="0"/>
        <w:rPr>
          <w:rFonts w:ascii="Times New Roman"/>
        </w:rPr>
      </w:pPr>
      <w:r>
        <w:rPr>
          <w:rFonts w:ascii="Times New Roman" w:hint="eastAsia"/>
        </w:rPr>
        <w:t>参考</w:t>
      </w:r>
      <w:r>
        <w:rPr>
          <w:rFonts w:ascii="Times New Roman" w:hint="eastAsia"/>
          <w:szCs w:val="22"/>
        </w:rPr>
        <w:t xml:space="preserve">NY/T 1971  </w:t>
      </w:r>
      <w:r>
        <w:rPr>
          <w:rFonts w:ascii="Times New Roman" w:hint="eastAsia"/>
          <w:szCs w:val="22"/>
        </w:rPr>
        <w:t>水溶肥料</w:t>
      </w:r>
      <w:r>
        <w:rPr>
          <w:rFonts w:ascii="Times New Roman" w:hint="eastAsia"/>
          <w:szCs w:val="22"/>
        </w:rPr>
        <w:t xml:space="preserve"> </w:t>
      </w:r>
      <w:r>
        <w:rPr>
          <w:rFonts w:ascii="Times New Roman" w:hint="eastAsia"/>
          <w:szCs w:val="22"/>
        </w:rPr>
        <w:t>腐植酸含量的测定</w:t>
      </w:r>
      <w:r>
        <w:rPr>
          <w:rFonts w:ascii="Times New Roman"/>
        </w:rPr>
        <w:t>原理和方法进行检测</w:t>
      </w:r>
      <w:r>
        <w:rPr>
          <w:rFonts w:ascii="Times New Roman" w:hint="eastAsia"/>
        </w:rPr>
        <w:t>。</w:t>
      </w:r>
      <w:r>
        <w:rPr>
          <w:rFonts w:ascii="Times New Roman"/>
        </w:rPr>
        <w:t xml:space="preserve"> </w:t>
      </w:r>
    </w:p>
    <w:p w14:paraId="527D8F66"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w:t>
      </w:r>
      <w:r>
        <w:rPr>
          <w:rFonts w:ascii="Times New Roman" w:hAnsi="Times New Roman" w:cs="Times New Roman" w:hint="eastAsia"/>
        </w:rPr>
        <w:t>活性腐植酸指数</w:t>
      </w:r>
    </w:p>
    <w:p w14:paraId="35F32568" w14:textId="77777777" w:rsidR="0059414D" w:rsidRDefault="0051453F">
      <w:pPr>
        <w:adjustRightInd w:val="0"/>
        <w:snapToGrid w:val="0"/>
        <w:spacing w:line="300" w:lineRule="auto"/>
        <w:ind w:firstLineChars="200" w:firstLine="420"/>
        <w:rPr>
          <w:rFonts w:ascii="Times New Roman"/>
        </w:rPr>
      </w:pPr>
      <w:r>
        <w:rPr>
          <w:rFonts w:ascii="Times New Roman" w:hint="eastAsia"/>
        </w:rPr>
        <w:t>在较弱氧化条件下测得的腐植酸占总腐植酸的百分率，用于表征产品活性。</w:t>
      </w:r>
    </w:p>
    <w:p w14:paraId="4BEEC918"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三、主要试验情况分析</w:t>
      </w:r>
    </w:p>
    <w:p w14:paraId="22A56E0B"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（一）样品收集</w:t>
      </w:r>
    </w:p>
    <w:p w14:paraId="3F7B6B0C" w14:textId="77777777" w:rsidR="0059414D" w:rsidRDefault="0051453F">
      <w:pPr>
        <w:adjustRightInd w:val="0"/>
        <w:snapToGrid w:val="0"/>
        <w:spacing w:line="300" w:lineRule="auto"/>
        <w:ind w:firstLineChars="202" w:firstLine="424"/>
        <w:rPr>
          <w:rFonts w:ascii="Times New Roman" w:hAnsi="Times New Roman" w:cs="Times New Roman"/>
        </w:rPr>
      </w:pPr>
      <w:r>
        <w:rPr>
          <w:rFonts w:ascii="Times New Roman" w:hAnsi="Times New Roman" w:cs="Times New Roman"/>
        </w:rPr>
        <w:t>目前已收集到</w:t>
      </w:r>
      <w:r>
        <w:rPr>
          <w:rFonts w:ascii="Times New Roman" w:hAnsi="Times New Roman" w:cs="Times New Roman" w:hint="eastAsia"/>
        </w:rPr>
        <w:t>新疆、内蒙古、山西、云南、河北等产地的共计</w:t>
      </w:r>
      <w:r w:rsidR="00DE562B">
        <w:rPr>
          <w:rFonts w:ascii="Times New Roman" w:hAnsi="Times New Roman" w:cs="Times New Roman" w:hint="eastAsia"/>
        </w:rPr>
        <w:t>12</w:t>
      </w:r>
      <w:r w:rsidR="00DE562B">
        <w:rPr>
          <w:rFonts w:ascii="Times New Roman" w:hAnsi="Times New Roman" w:cs="Times New Roman" w:hint="eastAsia"/>
        </w:rPr>
        <w:t>个液体样品，</w:t>
      </w:r>
      <w:r>
        <w:rPr>
          <w:rFonts w:ascii="Times New Roman" w:hAnsi="Times New Roman" w:cs="Times New Roman" w:hint="eastAsia"/>
        </w:rPr>
        <w:t>20</w:t>
      </w:r>
      <w:r>
        <w:rPr>
          <w:rFonts w:ascii="Times New Roman" w:hAnsi="Times New Roman" w:cs="Times New Roman" w:hint="eastAsia"/>
        </w:rPr>
        <w:t>个固体</w:t>
      </w:r>
      <w:r>
        <w:rPr>
          <w:rFonts w:ascii="Times New Roman" w:hAnsi="Times New Roman" w:cs="Times New Roman"/>
        </w:rPr>
        <w:t>样品</w:t>
      </w:r>
      <w:r>
        <w:rPr>
          <w:rFonts w:ascii="Times New Roman" w:hAnsi="Times New Roman" w:cs="Times New Roman" w:hint="eastAsia"/>
        </w:rPr>
        <w:t>。</w:t>
      </w:r>
    </w:p>
    <w:p w14:paraId="7CC67709"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hint="eastAsia"/>
          <w:b/>
          <w:sz w:val="24"/>
          <w:szCs w:val="24"/>
        </w:rPr>
        <w:t>（二）检测方法及指标的确定</w:t>
      </w:r>
    </w:p>
    <w:p w14:paraId="64D17FA4" w14:textId="77777777" w:rsidR="0059414D" w:rsidRDefault="0051453F">
      <w:pPr>
        <w:autoSpaceDE w:val="0"/>
        <w:autoSpaceDN w:val="0"/>
        <w:adjustRightInd w:val="0"/>
        <w:snapToGrid w:val="0"/>
        <w:spacing w:line="300" w:lineRule="auto"/>
        <w:jc w:val="left"/>
        <w:rPr>
          <w:rFonts w:ascii="Times New Roman" w:eastAsia="宋体" w:hAnsi="Times New Roman" w:cs="Times New Roman"/>
          <w:kern w:val="0"/>
          <w:szCs w:val="21"/>
        </w:rPr>
      </w:pPr>
      <w:r>
        <w:rPr>
          <w:rFonts w:ascii="Times New Roman" w:hAnsi="Times New Roman" w:cs="Times New Roman"/>
        </w:rPr>
        <w:t>1</w:t>
      </w:r>
      <w:r>
        <w:rPr>
          <w:rFonts w:ascii="Times New Roman" w:hAnsi="Times New Roman" w:cs="Times New Roman"/>
        </w:rPr>
        <w:t>、腐植</w:t>
      </w:r>
      <w:r>
        <w:rPr>
          <w:rFonts w:ascii="Times New Roman" w:eastAsia="宋体" w:hAnsi="Times New Roman" w:cs="Times New Roman" w:hint="eastAsia"/>
          <w:kern w:val="0"/>
          <w:szCs w:val="21"/>
        </w:rPr>
        <w:t>酸含量指标的确定</w:t>
      </w:r>
    </w:p>
    <w:p w14:paraId="541A9BA8" w14:textId="77777777" w:rsidR="0059414D" w:rsidRDefault="0051453F">
      <w:pPr>
        <w:autoSpaceDE w:val="0"/>
        <w:autoSpaceDN w:val="0"/>
        <w:adjustRightInd w:val="0"/>
        <w:snapToGrid w:val="0"/>
        <w:spacing w:line="300" w:lineRule="auto"/>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参照</w:t>
      </w:r>
      <w:r>
        <w:rPr>
          <w:rFonts w:ascii="Times New Roman" w:eastAsia="宋体" w:hAnsi="Times New Roman" w:cs="Times New Roman" w:hint="eastAsia"/>
          <w:kern w:val="0"/>
          <w:szCs w:val="21"/>
        </w:rPr>
        <w:t>NY/T 1971</w:t>
      </w:r>
      <w:r>
        <w:rPr>
          <w:rFonts w:ascii="Times New Roman" w:eastAsia="宋体" w:hAnsi="Times New Roman" w:cs="Times New Roman" w:hint="eastAsia"/>
          <w:kern w:val="0"/>
          <w:szCs w:val="21"/>
        </w:rPr>
        <w:t>中重铬酸钾容量法测定腐植酸含量。</w:t>
      </w:r>
    </w:p>
    <w:p w14:paraId="1BD25726" w14:textId="77777777" w:rsidR="002C48DE" w:rsidRDefault="002C48DE" w:rsidP="002C48DE">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1  </w:t>
      </w:r>
      <w:r>
        <w:rPr>
          <w:rFonts w:ascii="Times New Roman" w:hint="eastAsia"/>
        </w:rPr>
        <w:t>不同腐植酸（液体）样品含量测定结果</w:t>
      </w:r>
    </w:p>
    <w:tbl>
      <w:tblPr>
        <w:tblStyle w:val="af"/>
        <w:tblW w:w="0" w:type="auto"/>
        <w:jc w:val="center"/>
        <w:tblLook w:val="04A0" w:firstRow="1" w:lastRow="0" w:firstColumn="1" w:lastColumn="0" w:noHBand="0" w:noVBand="1"/>
      </w:tblPr>
      <w:tblGrid>
        <w:gridCol w:w="2130"/>
        <w:gridCol w:w="2130"/>
        <w:gridCol w:w="2131"/>
        <w:gridCol w:w="2131"/>
      </w:tblGrid>
      <w:tr w:rsidR="002C48DE" w14:paraId="3E0E7DA5" w14:textId="77777777" w:rsidTr="00A30535">
        <w:trPr>
          <w:jc w:val="center"/>
        </w:trPr>
        <w:tc>
          <w:tcPr>
            <w:tcW w:w="2130" w:type="dxa"/>
          </w:tcPr>
          <w:p w14:paraId="6F65FB7C"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366DA41B" w14:textId="77777777" w:rsidR="002C48DE" w:rsidRDefault="002C48DE" w:rsidP="002C48DE">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腐植酸质量浓度g/L</w:t>
            </w:r>
          </w:p>
        </w:tc>
        <w:tc>
          <w:tcPr>
            <w:tcW w:w="2131" w:type="dxa"/>
          </w:tcPr>
          <w:p w14:paraId="273D748E"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7BAD2FC4" w14:textId="77777777" w:rsidR="002C48DE" w:rsidRDefault="002C48DE" w:rsidP="002C48DE">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腐植酸质量浓度g/L</w:t>
            </w:r>
          </w:p>
        </w:tc>
      </w:tr>
      <w:tr w:rsidR="002C48DE" w14:paraId="09FC4AA0" w14:textId="77777777" w:rsidTr="00A30535">
        <w:trPr>
          <w:jc w:val="center"/>
        </w:trPr>
        <w:tc>
          <w:tcPr>
            <w:tcW w:w="2130" w:type="dxa"/>
            <w:vAlign w:val="center"/>
          </w:tcPr>
          <w:p w14:paraId="4CF6FE21"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center"/>
          </w:tcPr>
          <w:p w14:paraId="3A801400"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138.2</w:t>
            </w:r>
          </w:p>
        </w:tc>
        <w:tc>
          <w:tcPr>
            <w:tcW w:w="2131" w:type="dxa"/>
            <w:vAlign w:val="center"/>
          </w:tcPr>
          <w:p w14:paraId="5E8C1FEF"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1" w:type="dxa"/>
            <w:vAlign w:val="center"/>
          </w:tcPr>
          <w:p w14:paraId="40B20F28"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139.0</w:t>
            </w:r>
          </w:p>
        </w:tc>
      </w:tr>
      <w:tr w:rsidR="002C48DE" w14:paraId="68DAE2E3" w14:textId="77777777" w:rsidTr="00A30535">
        <w:trPr>
          <w:jc w:val="center"/>
        </w:trPr>
        <w:tc>
          <w:tcPr>
            <w:tcW w:w="2130" w:type="dxa"/>
            <w:vAlign w:val="center"/>
          </w:tcPr>
          <w:p w14:paraId="2EC78E7A"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center"/>
          </w:tcPr>
          <w:p w14:paraId="38B1BA8F"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160.9</w:t>
            </w:r>
          </w:p>
        </w:tc>
        <w:tc>
          <w:tcPr>
            <w:tcW w:w="2131" w:type="dxa"/>
            <w:vAlign w:val="center"/>
          </w:tcPr>
          <w:p w14:paraId="154ECA6E"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1" w:type="dxa"/>
            <w:vAlign w:val="center"/>
          </w:tcPr>
          <w:p w14:paraId="0AB8A692"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141.3</w:t>
            </w:r>
          </w:p>
        </w:tc>
      </w:tr>
      <w:tr w:rsidR="002C48DE" w14:paraId="1212C79D" w14:textId="77777777" w:rsidTr="00A30535">
        <w:trPr>
          <w:jc w:val="center"/>
        </w:trPr>
        <w:tc>
          <w:tcPr>
            <w:tcW w:w="2130" w:type="dxa"/>
            <w:vAlign w:val="center"/>
          </w:tcPr>
          <w:p w14:paraId="303F12FB" w14:textId="77777777" w:rsidR="002C48DE" w:rsidRPr="002C48DE" w:rsidRDefault="002C48DE" w:rsidP="00A30535">
            <w:pPr>
              <w:widowControl/>
              <w:jc w:val="center"/>
              <w:textAlignment w:val="bottom"/>
              <w:rPr>
                <w:rFonts w:ascii="Times New Roman" w:hAnsi="Times New Roman" w:cs="Times New Roman"/>
                <w:b/>
                <w:kern w:val="0"/>
                <w:szCs w:val="21"/>
              </w:rPr>
            </w:pPr>
            <w:r w:rsidRPr="002C48DE">
              <w:rPr>
                <w:rFonts w:ascii="宋体" w:eastAsia="宋体" w:hAnsi="宋体" w:cs="宋体" w:hint="eastAsia"/>
                <w:b/>
                <w:color w:val="000000"/>
                <w:kern w:val="0"/>
                <w:sz w:val="22"/>
                <w:lang w:bidi="ar"/>
              </w:rPr>
              <w:t>3</w:t>
            </w:r>
          </w:p>
        </w:tc>
        <w:tc>
          <w:tcPr>
            <w:tcW w:w="2130" w:type="dxa"/>
            <w:vAlign w:val="center"/>
          </w:tcPr>
          <w:p w14:paraId="7EC7EBF7" w14:textId="77777777" w:rsidR="002C48DE" w:rsidRPr="002C48DE" w:rsidRDefault="002C48DE" w:rsidP="00A30535">
            <w:pPr>
              <w:widowControl/>
              <w:jc w:val="center"/>
              <w:textAlignment w:val="bottom"/>
              <w:rPr>
                <w:rFonts w:ascii="Times New Roman" w:hAnsi="Times New Roman" w:cs="Times New Roman"/>
                <w:b/>
                <w:kern w:val="0"/>
                <w:szCs w:val="21"/>
              </w:rPr>
            </w:pPr>
            <w:r w:rsidRPr="002C48DE">
              <w:rPr>
                <w:rFonts w:ascii="宋体" w:eastAsia="宋体" w:hAnsi="宋体" w:cs="宋体" w:hint="eastAsia"/>
                <w:b/>
                <w:color w:val="000000"/>
                <w:kern w:val="0"/>
                <w:sz w:val="22"/>
                <w:lang w:bidi="ar"/>
              </w:rPr>
              <w:t>116.2</w:t>
            </w:r>
          </w:p>
        </w:tc>
        <w:tc>
          <w:tcPr>
            <w:tcW w:w="2131" w:type="dxa"/>
            <w:vAlign w:val="center"/>
          </w:tcPr>
          <w:p w14:paraId="56B45931"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1" w:type="dxa"/>
            <w:vAlign w:val="center"/>
          </w:tcPr>
          <w:p w14:paraId="5FCE8D62"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146.5</w:t>
            </w:r>
          </w:p>
        </w:tc>
      </w:tr>
      <w:tr w:rsidR="002C48DE" w14:paraId="196FCFF2" w14:textId="77777777" w:rsidTr="00A30535">
        <w:trPr>
          <w:jc w:val="center"/>
        </w:trPr>
        <w:tc>
          <w:tcPr>
            <w:tcW w:w="2130" w:type="dxa"/>
            <w:vAlign w:val="center"/>
          </w:tcPr>
          <w:p w14:paraId="758091CC"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center"/>
          </w:tcPr>
          <w:p w14:paraId="60662F0D"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136.6</w:t>
            </w:r>
          </w:p>
        </w:tc>
        <w:tc>
          <w:tcPr>
            <w:tcW w:w="2131" w:type="dxa"/>
            <w:vAlign w:val="center"/>
          </w:tcPr>
          <w:p w14:paraId="4B27EDF3"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1" w:type="dxa"/>
            <w:vAlign w:val="center"/>
          </w:tcPr>
          <w:p w14:paraId="55E05027"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132.3</w:t>
            </w:r>
          </w:p>
        </w:tc>
      </w:tr>
      <w:tr w:rsidR="002C48DE" w14:paraId="643B0F58" w14:textId="77777777" w:rsidTr="00A30535">
        <w:trPr>
          <w:jc w:val="center"/>
        </w:trPr>
        <w:tc>
          <w:tcPr>
            <w:tcW w:w="2130" w:type="dxa"/>
            <w:vAlign w:val="center"/>
          </w:tcPr>
          <w:p w14:paraId="71894057"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center"/>
          </w:tcPr>
          <w:p w14:paraId="39764A1C"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162.3</w:t>
            </w:r>
          </w:p>
        </w:tc>
        <w:tc>
          <w:tcPr>
            <w:tcW w:w="2131" w:type="dxa"/>
            <w:vAlign w:val="center"/>
          </w:tcPr>
          <w:p w14:paraId="0A05DB6F"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11</w:t>
            </w:r>
          </w:p>
        </w:tc>
        <w:tc>
          <w:tcPr>
            <w:tcW w:w="2131" w:type="dxa"/>
            <w:vAlign w:val="center"/>
          </w:tcPr>
          <w:p w14:paraId="1DBFDAD6"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129.0</w:t>
            </w:r>
          </w:p>
        </w:tc>
      </w:tr>
      <w:tr w:rsidR="002C48DE" w14:paraId="46301BB9" w14:textId="77777777" w:rsidTr="00A30535">
        <w:trPr>
          <w:jc w:val="center"/>
        </w:trPr>
        <w:tc>
          <w:tcPr>
            <w:tcW w:w="2130" w:type="dxa"/>
            <w:vAlign w:val="center"/>
          </w:tcPr>
          <w:p w14:paraId="48C8875F" w14:textId="77777777" w:rsidR="002C48DE" w:rsidRPr="002C48DE" w:rsidRDefault="002C48DE" w:rsidP="00A30535">
            <w:pPr>
              <w:widowControl/>
              <w:jc w:val="center"/>
              <w:textAlignment w:val="bottom"/>
              <w:rPr>
                <w:rFonts w:ascii="Times New Roman" w:hAnsi="Times New Roman" w:cs="Times New Roman"/>
                <w:b/>
                <w:kern w:val="0"/>
                <w:szCs w:val="21"/>
              </w:rPr>
            </w:pPr>
            <w:r w:rsidRPr="002C48DE">
              <w:rPr>
                <w:rFonts w:ascii="宋体" w:eastAsia="宋体" w:hAnsi="宋体" w:cs="宋体" w:hint="eastAsia"/>
                <w:b/>
                <w:color w:val="000000"/>
                <w:kern w:val="0"/>
                <w:sz w:val="22"/>
                <w:lang w:bidi="ar"/>
              </w:rPr>
              <w:t>6</w:t>
            </w:r>
          </w:p>
        </w:tc>
        <w:tc>
          <w:tcPr>
            <w:tcW w:w="2130" w:type="dxa"/>
            <w:vAlign w:val="center"/>
          </w:tcPr>
          <w:p w14:paraId="4FFE30A3" w14:textId="77777777" w:rsidR="002C48DE" w:rsidRPr="002C48DE" w:rsidRDefault="002C48DE" w:rsidP="00A30535">
            <w:pPr>
              <w:widowControl/>
              <w:jc w:val="center"/>
              <w:textAlignment w:val="bottom"/>
              <w:rPr>
                <w:rFonts w:ascii="Times New Roman" w:hAnsi="Times New Roman" w:cs="Times New Roman"/>
                <w:b/>
                <w:kern w:val="0"/>
                <w:szCs w:val="21"/>
              </w:rPr>
            </w:pPr>
            <w:r w:rsidRPr="002C48DE">
              <w:rPr>
                <w:rFonts w:ascii="宋体" w:eastAsia="宋体" w:hAnsi="宋体" w:cs="宋体" w:hint="eastAsia"/>
                <w:b/>
                <w:color w:val="000000"/>
                <w:kern w:val="0"/>
                <w:sz w:val="22"/>
                <w:lang w:bidi="ar"/>
              </w:rPr>
              <w:t>105.8</w:t>
            </w:r>
          </w:p>
        </w:tc>
        <w:tc>
          <w:tcPr>
            <w:tcW w:w="2131" w:type="dxa"/>
            <w:vAlign w:val="center"/>
          </w:tcPr>
          <w:p w14:paraId="659CB0FC"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center"/>
          </w:tcPr>
          <w:p w14:paraId="473E903C" w14:textId="77777777" w:rsidR="002C48DE" w:rsidRDefault="002C48DE"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138.7</w:t>
            </w:r>
          </w:p>
        </w:tc>
      </w:tr>
    </w:tbl>
    <w:p w14:paraId="3EA45E73" w14:textId="77777777" w:rsidR="002C48DE" w:rsidRDefault="002C48DE">
      <w:pPr>
        <w:adjustRightInd w:val="0"/>
        <w:snapToGrid w:val="0"/>
        <w:spacing w:line="300" w:lineRule="auto"/>
        <w:ind w:firstLine="435"/>
        <w:jc w:val="center"/>
        <w:rPr>
          <w:rFonts w:ascii="Times New Roman"/>
        </w:rPr>
      </w:pPr>
    </w:p>
    <w:p w14:paraId="42C83E3D"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sidR="00DE562B">
        <w:rPr>
          <w:rFonts w:ascii="Times New Roman" w:hint="eastAsia"/>
        </w:rPr>
        <w:t>2</w:t>
      </w:r>
      <w:r>
        <w:rPr>
          <w:rFonts w:ascii="Times New Roman" w:hint="eastAsia"/>
        </w:rPr>
        <w:t xml:space="preserve">  </w:t>
      </w:r>
      <w:r>
        <w:rPr>
          <w:rFonts w:ascii="Times New Roman" w:hint="eastAsia"/>
        </w:rPr>
        <w:t>不同腐植酸（固体）样品含量测定结果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45E25401" w14:textId="77777777">
        <w:trPr>
          <w:jc w:val="center"/>
        </w:trPr>
        <w:tc>
          <w:tcPr>
            <w:tcW w:w="2130" w:type="dxa"/>
          </w:tcPr>
          <w:p w14:paraId="1708898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3D917C1A"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腐植酸含量%</w:t>
            </w:r>
          </w:p>
        </w:tc>
        <w:tc>
          <w:tcPr>
            <w:tcW w:w="2131" w:type="dxa"/>
          </w:tcPr>
          <w:p w14:paraId="1152CCC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3086FE9B"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腐植酸含量%</w:t>
            </w:r>
          </w:p>
        </w:tc>
      </w:tr>
      <w:tr w:rsidR="0059414D" w14:paraId="0535A39A" w14:textId="77777777">
        <w:trPr>
          <w:jc w:val="center"/>
        </w:trPr>
        <w:tc>
          <w:tcPr>
            <w:tcW w:w="2130" w:type="dxa"/>
            <w:vAlign w:val="center"/>
          </w:tcPr>
          <w:p w14:paraId="16BD801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bottom"/>
          </w:tcPr>
          <w:p w14:paraId="7EE777A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51.37</w:t>
            </w:r>
          </w:p>
        </w:tc>
        <w:tc>
          <w:tcPr>
            <w:tcW w:w="2131" w:type="dxa"/>
            <w:vAlign w:val="center"/>
          </w:tcPr>
          <w:p w14:paraId="10E6FDB8" w14:textId="77777777" w:rsidR="0059414D" w:rsidRPr="002C48DE" w:rsidRDefault="0051453F">
            <w:pPr>
              <w:widowControl/>
              <w:jc w:val="center"/>
              <w:textAlignment w:val="bottom"/>
              <w:rPr>
                <w:rFonts w:ascii="Times New Roman" w:hAnsi="Times New Roman" w:cs="Times New Roman"/>
                <w:b/>
                <w:kern w:val="0"/>
                <w:szCs w:val="21"/>
              </w:rPr>
            </w:pPr>
            <w:r w:rsidRPr="002C48DE">
              <w:rPr>
                <w:rFonts w:ascii="宋体" w:eastAsia="宋体" w:hAnsi="宋体" w:cs="宋体" w:hint="eastAsia"/>
                <w:b/>
                <w:color w:val="000000"/>
                <w:kern w:val="0"/>
                <w:sz w:val="22"/>
                <w:lang w:bidi="ar"/>
              </w:rPr>
              <w:t>11</w:t>
            </w:r>
          </w:p>
        </w:tc>
        <w:tc>
          <w:tcPr>
            <w:tcW w:w="2131" w:type="dxa"/>
            <w:vAlign w:val="center"/>
          </w:tcPr>
          <w:p w14:paraId="08A0359E" w14:textId="77777777" w:rsidR="0059414D" w:rsidRPr="002C48DE" w:rsidRDefault="0051453F">
            <w:pPr>
              <w:widowControl/>
              <w:jc w:val="center"/>
              <w:textAlignment w:val="bottom"/>
              <w:rPr>
                <w:rFonts w:ascii="Times New Roman" w:hAnsi="Times New Roman" w:cs="Times New Roman"/>
                <w:b/>
                <w:kern w:val="0"/>
                <w:szCs w:val="21"/>
              </w:rPr>
            </w:pPr>
            <w:r w:rsidRPr="002C48DE">
              <w:rPr>
                <w:rFonts w:ascii="宋体" w:eastAsia="宋体" w:hAnsi="宋体" w:cs="宋体" w:hint="eastAsia"/>
                <w:b/>
                <w:color w:val="000000"/>
                <w:kern w:val="0"/>
                <w:sz w:val="22"/>
                <w:lang w:bidi="ar"/>
              </w:rPr>
              <w:t>38.31</w:t>
            </w:r>
          </w:p>
        </w:tc>
      </w:tr>
      <w:tr w:rsidR="0059414D" w14:paraId="7A535439" w14:textId="77777777">
        <w:trPr>
          <w:jc w:val="center"/>
        </w:trPr>
        <w:tc>
          <w:tcPr>
            <w:tcW w:w="2130" w:type="dxa"/>
            <w:vAlign w:val="center"/>
          </w:tcPr>
          <w:p w14:paraId="75D1FD1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bottom"/>
          </w:tcPr>
          <w:p w14:paraId="13E6893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48.32</w:t>
            </w:r>
          </w:p>
        </w:tc>
        <w:tc>
          <w:tcPr>
            <w:tcW w:w="2131" w:type="dxa"/>
            <w:vAlign w:val="center"/>
          </w:tcPr>
          <w:p w14:paraId="0E2B99A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center"/>
          </w:tcPr>
          <w:p w14:paraId="39B1F00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44.35</w:t>
            </w:r>
          </w:p>
        </w:tc>
      </w:tr>
      <w:tr w:rsidR="0059414D" w14:paraId="2AE74EDB" w14:textId="77777777">
        <w:trPr>
          <w:jc w:val="center"/>
        </w:trPr>
        <w:tc>
          <w:tcPr>
            <w:tcW w:w="2130" w:type="dxa"/>
            <w:vAlign w:val="center"/>
          </w:tcPr>
          <w:p w14:paraId="69D31AA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w:t>
            </w:r>
          </w:p>
        </w:tc>
        <w:tc>
          <w:tcPr>
            <w:tcW w:w="2130" w:type="dxa"/>
            <w:vAlign w:val="bottom"/>
          </w:tcPr>
          <w:p w14:paraId="62B31E0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67.44</w:t>
            </w:r>
          </w:p>
        </w:tc>
        <w:tc>
          <w:tcPr>
            <w:tcW w:w="2131" w:type="dxa"/>
            <w:vAlign w:val="center"/>
          </w:tcPr>
          <w:p w14:paraId="0C9337A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w:t>
            </w:r>
          </w:p>
        </w:tc>
        <w:tc>
          <w:tcPr>
            <w:tcW w:w="2131" w:type="dxa"/>
            <w:vAlign w:val="center"/>
          </w:tcPr>
          <w:p w14:paraId="06CABDF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55.23</w:t>
            </w:r>
          </w:p>
        </w:tc>
      </w:tr>
      <w:tr w:rsidR="0059414D" w14:paraId="5C965B15" w14:textId="77777777">
        <w:trPr>
          <w:jc w:val="center"/>
        </w:trPr>
        <w:tc>
          <w:tcPr>
            <w:tcW w:w="2130" w:type="dxa"/>
            <w:vAlign w:val="center"/>
          </w:tcPr>
          <w:p w14:paraId="06C8E70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bottom"/>
          </w:tcPr>
          <w:p w14:paraId="6453A53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45.23</w:t>
            </w:r>
          </w:p>
        </w:tc>
        <w:tc>
          <w:tcPr>
            <w:tcW w:w="2131" w:type="dxa"/>
            <w:vAlign w:val="center"/>
          </w:tcPr>
          <w:p w14:paraId="77F75A7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w:t>
            </w:r>
          </w:p>
        </w:tc>
        <w:tc>
          <w:tcPr>
            <w:tcW w:w="2131" w:type="dxa"/>
            <w:vAlign w:val="center"/>
          </w:tcPr>
          <w:p w14:paraId="6755AB3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46.39</w:t>
            </w:r>
          </w:p>
        </w:tc>
      </w:tr>
      <w:tr w:rsidR="0059414D" w14:paraId="5AC16C22" w14:textId="77777777">
        <w:trPr>
          <w:jc w:val="center"/>
        </w:trPr>
        <w:tc>
          <w:tcPr>
            <w:tcW w:w="2130" w:type="dxa"/>
            <w:vAlign w:val="center"/>
          </w:tcPr>
          <w:p w14:paraId="0F31295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center"/>
          </w:tcPr>
          <w:p w14:paraId="6C0CD4D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57.47</w:t>
            </w:r>
          </w:p>
        </w:tc>
        <w:tc>
          <w:tcPr>
            <w:tcW w:w="2131" w:type="dxa"/>
            <w:vAlign w:val="center"/>
          </w:tcPr>
          <w:p w14:paraId="434DFFD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15</w:t>
            </w:r>
          </w:p>
        </w:tc>
        <w:tc>
          <w:tcPr>
            <w:tcW w:w="2131" w:type="dxa"/>
            <w:vAlign w:val="center"/>
          </w:tcPr>
          <w:p w14:paraId="225CBCB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58.32</w:t>
            </w:r>
          </w:p>
        </w:tc>
      </w:tr>
      <w:tr w:rsidR="0059414D" w14:paraId="340D6418" w14:textId="77777777">
        <w:trPr>
          <w:jc w:val="center"/>
        </w:trPr>
        <w:tc>
          <w:tcPr>
            <w:tcW w:w="2130" w:type="dxa"/>
            <w:vAlign w:val="center"/>
          </w:tcPr>
          <w:p w14:paraId="495E4D8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p>
        </w:tc>
        <w:tc>
          <w:tcPr>
            <w:tcW w:w="2130" w:type="dxa"/>
            <w:vAlign w:val="center"/>
          </w:tcPr>
          <w:p w14:paraId="41D0696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46.12</w:t>
            </w:r>
          </w:p>
        </w:tc>
        <w:tc>
          <w:tcPr>
            <w:tcW w:w="2131" w:type="dxa"/>
            <w:vAlign w:val="center"/>
          </w:tcPr>
          <w:p w14:paraId="7368E4A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16</w:t>
            </w:r>
          </w:p>
        </w:tc>
        <w:tc>
          <w:tcPr>
            <w:tcW w:w="2131" w:type="dxa"/>
            <w:vAlign w:val="center"/>
          </w:tcPr>
          <w:p w14:paraId="1A185F5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46.12</w:t>
            </w:r>
          </w:p>
        </w:tc>
      </w:tr>
      <w:tr w:rsidR="0059414D" w14:paraId="15CB2B5A" w14:textId="77777777">
        <w:trPr>
          <w:jc w:val="center"/>
        </w:trPr>
        <w:tc>
          <w:tcPr>
            <w:tcW w:w="2130" w:type="dxa"/>
            <w:vAlign w:val="center"/>
          </w:tcPr>
          <w:p w14:paraId="00C5B30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0" w:type="dxa"/>
            <w:vAlign w:val="center"/>
          </w:tcPr>
          <w:p w14:paraId="3B70EF6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54.95</w:t>
            </w:r>
          </w:p>
        </w:tc>
        <w:tc>
          <w:tcPr>
            <w:tcW w:w="2131" w:type="dxa"/>
            <w:vAlign w:val="center"/>
          </w:tcPr>
          <w:p w14:paraId="769C10B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17</w:t>
            </w:r>
          </w:p>
        </w:tc>
        <w:tc>
          <w:tcPr>
            <w:tcW w:w="2131" w:type="dxa"/>
            <w:vAlign w:val="center"/>
          </w:tcPr>
          <w:p w14:paraId="5C391AE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47.97</w:t>
            </w:r>
          </w:p>
        </w:tc>
      </w:tr>
      <w:tr w:rsidR="0059414D" w14:paraId="4749900D" w14:textId="77777777">
        <w:trPr>
          <w:jc w:val="center"/>
        </w:trPr>
        <w:tc>
          <w:tcPr>
            <w:tcW w:w="2130" w:type="dxa"/>
            <w:vAlign w:val="center"/>
          </w:tcPr>
          <w:p w14:paraId="2E4ADE1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0" w:type="dxa"/>
            <w:vAlign w:val="center"/>
          </w:tcPr>
          <w:p w14:paraId="0936A2E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43.50</w:t>
            </w:r>
          </w:p>
        </w:tc>
        <w:tc>
          <w:tcPr>
            <w:tcW w:w="2131" w:type="dxa"/>
            <w:vAlign w:val="center"/>
          </w:tcPr>
          <w:p w14:paraId="101502A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18</w:t>
            </w:r>
          </w:p>
        </w:tc>
        <w:tc>
          <w:tcPr>
            <w:tcW w:w="2131" w:type="dxa"/>
            <w:vAlign w:val="center"/>
          </w:tcPr>
          <w:p w14:paraId="1113FFD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49.14</w:t>
            </w:r>
          </w:p>
        </w:tc>
      </w:tr>
      <w:tr w:rsidR="0059414D" w14:paraId="27678FC5" w14:textId="77777777">
        <w:trPr>
          <w:jc w:val="center"/>
        </w:trPr>
        <w:tc>
          <w:tcPr>
            <w:tcW w:w="2130" w:type="dxa"/>
            <w:vAlign w:val="center"/>
          </w:tcPr>
          <w:p w14:paraId="6C28131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0" w:type="dxa"/>
            <w:vAlign w:val="center"/>
          </w:tcPr>
          <w:p w14:paraId="5872624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65.11</w:t>
            </w:r>
          </w:p>
        </w:tc>
        <w:tc>
          <w:tcPr>
            <w:tcW w:w="2131" w:type="dxa"/>
            <w:vAlign w:val="center"/>
          </w:tcPr>
          <w:p w14:paraId="37312BB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19</w:t>
            </w:r>
          </w:p>
        </w:tc>
        <w:tc>
          <w:tcPr>
            <w:tcW w:w="2131" w:type="dxa"/>
            <w:vAlign w:val="center"/>
          </w:tcPr>
          <w:p w14:paraId="7466D0D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56.16</w:t>
            </w:r>
          </w:p>
        </w:tc>
      </w:tr>
      <w:tr w:rsidR="0059414D" w14:paraId="654BFA9A" w14:textId="77777777">
        <w:trPr>
          <w:jc w:val="center"/>
        </w:trPr>
        <w:tc>
          <w:tcPr>
            <w:tcW w:w="2130" w:type="dxa"/>
            <w:vAlign w:val="center"/>
          </w:tcPr>
          <w:p w14:paraId="4B03382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0" w:type="dxa"/>
            <w:vAlign w:val="center"/>
          </w:tcPr>
          <w:p w14:paraId="558F1EB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67.92</w:t>
            </w:r>
          </w:p>
        </w:tc>
        <w:tc>
          <w:tcPr>
            <w:tcW w:w="2131" w:type="dxa"/>
            <w:vAlign w:val="center"/>
          </w:tcPr>
          <w:p w14:paraId="6E9A42C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20</w:t>
            </w:r>
          </w:p>
        </w:tc>
        <w:tc>
          <w:tcPr>
            <w:tcW w:w="2131" w:type="dxa"/>
            <w:vAlign w:val="center"/>
          </w:tcPr>
          <w:p w14:paraId="2F0170A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50.09</w:t>
            </w:r>
          </w:p>
        </w:tc>
      </w:tr>
    </w:tbl>
    <w:p w14:paraId="2ED9E5C6" w14:textId="77777777" w:rsidR="0059414D" w:rsidRDefault="0059414D" w:rsidP="000E1683">
      <w:pPr>
        <w:adjustRightInd w:val="0"/>
        <w:snapToGrid w:val="0"/>
        <w:spacing w:afterLines="50" w:after="156" w:line="300" w:lineRule="auto"/>
        <w:ind w:firstLineChars="176" w:firstLine="370"/>
        <w:jc w:val="center"/>
        <w:rPr>
          <w:rFonts w:ascii="Times New Roman" w:hAnsi="Times New Roman" w:cs="Times New Roman"/>
          <w:kern w:val="0"/>
          <w:szCs w:val="21"/>
        </w:rPr>
      </w:pPr>
    </w:p>
    <w:p w14:paraId="7850B21F" w14:textId="77777777" w:rsidR="0059414D" w:rsidRDefault="0051453F">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测定</w:t>
      </w:r>
      <w:r w:rsidR="002C48DE">
        <w:rPr>
          <w:rFonts w:ascii="Times New Roman" w:eastAsia="宋体" w:hAnsi="Times New Roman" w:cs="Times New Roman" w:hint="eastAsia"/>
          <w:kern w:val="0"/>
          <w:szCs w:val="21"/>
        </w:rPr>
        <w:t>液体产品腐植酸含量在</w:t>
      </w:r>
      <w:r w:rsidR="002C48DE">
        <w:rPr>
          <w:rFonts w:ascii="Times New Roman" w:eastAsia="宋体" w:hAnsi="Times New Roman" w:cs="Times New Roman" w:hint="eastAsia"/>
          <w:kern w:val="0"/>
          <w:szCs w:val="21"/>
        </w:rPr>
        <w:t>105.8%~162.3</w:t>
      </w:r>
      <w:r w:rsidR="002C48DE">
        <w:rPr>
          <w:rFonts w:ascii="宋体" w:eastAsia="宋体" w:hAnsi="宋体" w:cs="宋体" w:hint="eastAsia"/>
          <w:color w:val="000000"/>
          <w:kern w:val="0"/>
          <w:sz w:val="22"/>
          <w:lang w:bidi="ar"/>
        </w:rPr>
        <w:t>g/L</w:t>
      </w:r>
      <w:r w:rsidR="002C48DE">
        <w:rPr>
          <w:rFonts w:ascii="Times New Roman" w:eastAsia="宋体" w:hAnsi="Times New Roman" w:cs="Times New Roman" w:hint="eastAsia"/>
          <w:kern w:val="0"/>
          <w:szCs w:val="21"/>
        </w:rPr>
        <w:t>之间，</w:t>
      </w:r>
      <w:r w:rsidR="002C48DE">
        <w:rPr>
          <w:rFonts w:ascii="Times New Roman" w:eastAsia="宋体" w:hAnsi="Times New Roman" w:cs="Times New Roman" w:hint="eastAsia"/>
          <w:kern w:val="0"/>
          <w:szCs w:val="21"/>
        </w:rPr>
        <w:t>2</w:t>
      </w:r>
      <w:r w:rsidR="002C48DE">
        <w:rPr>
          <w:rFonts w:ascii="Times New Roman" w:eastAsia="宋体" w:hAnsi="Times New Roman" w:cs="Times New Roman" w:hint="eastAsia"/>
          <w:kern w:val="0"/>
          <w:szCs w:val="21"/>
        </w:rPr>
        <w:t>个产品小于</w:t>
      </w:r>
      <w:r w:rsidR="002C48DE">
        <w:rPr>
          <w:rFonts w:ascii="Times New Roman" w:eastAsia="宋体" w:hAnsi="Times New Roman" w:cs="Times New Roman" w:hint="eastAsia"/>
          <w:kern w:val="0"/>
          <w:szCs w:val="21"/>
        </w:rPr>
        <w:t>120%</w:t>
      </w:r>
      <w:r w:rsidR="002C48DE">
        <w:rPr>
          <w:rFonts w:ascii="Times New Roman" w:eastAsia="宋体" w:hAnsi="Times New Roman" w:cs="Times New Roman" w:hint="eastAsia"/>
          <w:kern w:val="0"/>
          <w:szCs w:val="21"/>
        </w:rPr>
        <w:t>，参考目前已备案的企业标准</w:t>
      </w:r>
      <w:r w:rsidR="00396F4F">
        <w:rPr>
          <w:rFonts w:ascii="Times New Roman" w:eastAsia="宋体" w:hAnsi="Times New Roman" w:cs="Times New Roman" w:hint="eastAsia"/>
          <w:kern w:val="0"/>
          <w:szCs w:val="21"/>
        </w:rPr>
        <w:t>与《含腐植酸尿素》、《含腐植酸磷酸一铵、磷酸二铵》行业标准要求</w:t>
      </w:r>
      <w:r w:rsidR="002C48DE">
        <w:rPr>
          <w:rFonts w:ascii="Times New Roman" w:eastAsia="宋体" w:hAnsi="Times New Roman" w:cs="Times New Roman" w:hint="eastAsia"/>
          <w:kern w:val="0"/>
          <w:szCs w:val="21"/>
        </w:rPr>
        <w:t>，本标准将为肥料增效剂</w:t>
      </w:r>
      <w:r w:rsidR="002C48DE">
        <w:rPr>
          <w:rFonts w:ascii="Times New Roman" w:eastAsia="宋体" w:hAnsi="Times New Roman" w:cs="Times New Roman" w:hint="eastAsia"/>
          <w:kern w:val="0"/>
          <w:szCs w:val="21"/>
        </w:rPr>
        <w:t xml:space="preserve"> </w:t>
      </w:r>
      <w:r w:rsidR="002C48DE">
        <w:rPr>
          <w:rFonts w:ascii="Times New Roman" w:eastAsia="宋体" w:hAnsi="Times New Roman" w:cs="Times New Roman" w:hint="eastAsia"/>
          <w:kern w:val="0"/>
          <w:szCs w:val="21"/>
        </w:rPr>
        <w:t>腐植酸液体产品的含量指标定为≥</w:t>
      </w:r>
      <w:r w:rsidR="002C48DE">
        <w:rPr>
          <w:rFonts w:ascii="Times New Roman" w:eastAsia="宋体" w:hAnsi="Times New Roman" w:cs="Times New Roman" w:hint="eastAsia"/>
          <w:kern w:val="0"/>
          <w:szCs w:val="21"/>
        </w:rPr>
        <w:t>120.0</w:t>
      </w:r>
      <w:r w:rsidR="002C48DE">
        <w:rPr>
          <w:rFonts w:ascii="宋体" w:eastAsia="宋体" w:hAnsi="宋体" w:cs="宋体" w:hint="eastAsia"/>
          <w:color w:val="000000"/>
          <w:kern w:val="0"/>
          <w:sz w:val="22"/>
          <w:lang w:bidi="ar"/>
        </w:rPr>
        <w:t>g/L</w:t>
      </w:r>
      <w:r w:rsidR="002C48DE">
        <w:rPr>
          <w:rFonts w:ascii="Times New Roman" w:eastAsia="宋体" w:hAnsi="Times New Roman" w:cs="Times New Roman" w:hint="eastAsia"/>
          <w:kern w:val="0"/>
          <w:szCs w:val="21"/>
        </w:rPr>
        <w:t>；</w:t>
      </w:r>
      <w:r w:rsidR="00396F4F">
        <w:rPr>
          <w:rFonts w:ascii="Times New Roman" w:eastAsia="宋体" w:hAnsi="Times New Roman" w:cs="Times New Roman" w:hint="eastAsia"/>
          <w:kern w:val="0"/>
          <w:szCs w:val="21"/>
        </w:rPr>
        <w:t>测定的</w:t>
      </w:r>
      <w:r>
        <w:rPr>
          <w:rFonts w:ascii="Times New Roman" w:eastAsia="宋体" w:hAnsi="Times New Roman" w:cs="Times New Roman" w:hint="eastAsia"/>
          <w:kern w:val="0"/>
          <w:szCs w:val="21"/>
        </w:rPr>
        <w:t>20</w:t>
      </w:r>
      <w:r w:rsidR="002C48DE">
        <w:rPr>
          <w:rFonts w:ascii="Times New Roman" w:eastAsia="宋体" w:hAnsi="Times New Roman" w:cs="Times New Roman" w:hint="eastAsia"/>
          <w:kern w:val="0"/>
          <w:szCs w:val="21"/>
        </w:rPr>
        <w:t>个</w:t>
      </w:r>
      <w:r>
        <w:rPr>
          <w:rFonts w:ascii="Times New Roman" w:eastAsia="宋体" w:hAnsi="Times New Roman" w:cs="Times New Roman" w:hint="eastAsia"/>
          <w:kern w:val="0"/>
          <w:szCs w:val="21"/>
        </w:rPr>
        <w:t>腐植酸固体样品，仅有</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个产品腐植酸含量都＜</w:t>
      </w:r>
      <w:r>
        <w:rPr>
          <w:rFonts w:ascii="Times New Roman" w:eastAsia="宋体" w:hAnsi="Times New Roman" w:cs="Times New Roman" w:hint="eastAsia"/>
          <w:kern w:val="0"/>
          <w:szCs w:val="21"/>
        </w:rPr>
        <w:t>40%</w:t>
      </w:r>
      <w:r w:rsidR="00396F4F">
        <w:rPr>
          <w:rFonts w:ascii="Times New Roman" w:eastAsia="宋体" w:hAnsi="Times New Roman" w:cs="Times New Roman" w:hint="eastAsia"/>
          <w:kern w:val="0"/>
          <w:szCs w:val="21"/>
        </w:rPr>
        <w:t>。固体腐植酸增效剂多在复合肥中应用，加入方式和添加量比较灵活，对含量的要求不高，</w:t>
      </w:r>
      <w:r>
        <w:rPr>
          <w:rFonts w:ascii="Times New Roman" w:eastAsia="宋体" w:hAnsi="Times New Roman" w:cs="Times New Roman" w:hint="eastAsia"/>
          <w:kern w:val="0"/>
          <w:szCs w:val="21"/>
        </w:rPr>
        <w:t>因此</w:t>
      </w:r>
      <w:r w:rsidR="00396F4F">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本标准将</w:t>
      </w:r>
      <w:r w:rsidR="00396F4F">
        <w:rPr>
          <w:rFonts w:ascii="Times New Roman" w:eastAsia="宋体" w:hAnsi="Times New Roman" w:cs="Times New Roman" w:hint="eastAsia"/>
          <w:kern w:val="0"/>
          <w:szCs w:val="21"/>
        </w:rPr>
        <w:t>肥料</w:t>
      </w:r>
      <w:r w:rsidR="002C48DE">
        <w:rPr>
          <w:rFonts w:ascii="Times New Roman" w:eastAsia="宋体" w:hAnsi="Times New Roman" w:cs="Times New Roman" w:hint="eastAsia"/>
          <w:kern w:val="0"/>
          <w:szCs w:val="21"/>
        </w:rPr>
        <w:t>增效剂</w:t>
      </w:r>
      <w:r w:rsidR="00396F4F">
        <w:rPr>
          <w:rFonts w:ascii="Times New Roman" w:eastAsia="宋体" w:hAnsi="Times New Roman" w:cs="Times New Roman" w:hint="eastAsia"/>
          <w:kern w:val="0"/>
          <w:szCs w:val="21"/>
        </w:rPr>
        <w:t xml:space="preserve"> </w:t>
      </w:r>
      <w:r w:rsidR="002C48DE">
        <w:rPr>
          <w:rFonts w:ascii="Times New Roman" w:eastAsia="宋体" w:hAnsi="Times New Roman" w:cs="Times New Roman" w:hint="eastAsia"/>
          <w:kern w:val="0"/>
          <w:szCs w:val="21"/>
        </w:rPr>
        <w:t>腐植酸固体产品的含量指标</w:t>
      </w:r>
      <w:r w:rsidR="00396F4F">
        <w:rPr>
          <w:rFonts w:ascii="Times New Roman" w:eastAsia="宋体" w:hAnsi="Times New Roman" w:cs="Times New Roman" w:hint="eastAsia"/>
          <w:kern w:val="0"/>
          <w:szCs w:val="21"/>
        </w:rPr>
        <w:t>定为≥</w:t>
      </w:r>
      <w:r w:rsidR="00396F4F">
        <w:rPr>
          <w:rFonts w:ascii="Times New Roman" w:eastAsia="宋体" w:hAnsi="Times New Roman" w:cs="Times New Roman" w:hint="eastAsia"/>
          <w:kern w:val="0"/>
          <w:szCs w:val="21"/>
        </w:rPr>
        <w:t>40%</w:t>
      </w:r>
      <w:r w:rsidR="00396F4F">
        <w:rPr>
          <w:rFonts w:ascii="Times New Roman" w:eastAsia="宋体" w:hAnsi="Times New Roman" w:cs="Times New Roman" w:hint="eastAsia"/>
          <w:kern w:val="0"/>
          <w:szCs w:val="21"/>
        </w:rPr>
        <w:t>。</w:t>
      </w:r>
    </w:p>
    <w:p w14:paraId="4ACE3D42" w14:textId="77777777" w:rsidR="0059414D" w:rsidRDefault="005577A2" w:rsidP="005577A2">
      <w:pPr>
        <w:adjustRightInd w:val="0"/>
        <w:snapToGrid w:val="0"/>
        <w:spacing w:line="300" w:lineRule="auto"/>
        <w:rPr>
          <w:rFonts w:ascii="Times New Roman" w:hAnsi="Times New Roman" w:cs="Times New Roman"/>
        </w:rPr>
      </w:pPr>
      <w:r>
        <w:rPr>
          <w:rFonts w:ascii="Times New Roman" w:hAnsi="Times New Roman" w:cs="Times New Roman" w:hint="eastAsia"/>
        </w:rPr>
        <w:lastRenderedPageBreak/>
        <w:t>2</w:t>
      </w:r>
      <w:r>
        <w:rPr>
          <w:rFonts w:ascii="Times New Roman" w:hAnsi="Times New Roman" w:cs="Times New Roman" w:hint="eastAsia"/>
        </w:rPr>
        <w:t>、</w:t>
      </w:r>
      <w:r w:rsidR="0051453F">
        <w:rPr>
          <w:rFonts w:ascii="Times New Roman" w:hAnsi="Times New Roman" w:cs="Times New Roman" w:hint="eastAsia"/>
        </w:rPr>
        <w:t>活性腐植酸指数方法及指标的确定</w:t>
      </w:r>
    </w:p>
    <w:p w14:paraId="6510D954" w14:textId="77777777" w:rsidR="005577A2" w:rsidRDefault="005577A2" w:rsidP="005577A2">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为确定腐植酸活性指数，研究了腐植酸对作物根系生长的影响、不同分子量腐植酸对根系生长的影响、弱氧化条件下腐植酸的测定、不同分子量腐植酸的活性指数，从而确定腐植酸活性指数指标。</w:t>
      </w:r>
    </w:p>
    <w:p w14:paraId="526E48E0" w14:textId="77777777" w:rsidR="005577A2" w:rsidRDefault="005577A2" w:rsidP="005577A2">
      <w:pPr>
        <w:adjustRightInd w:val="0"/>
        <w:snapToGrid w:val="0"/>
        <w:spacing w:afterLines="50" w:after="156" w:line="300" w:lineRule="auto"/>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2.1 </w:t>
      </w:r>
      <w:r>
        <w:rPr>
          <w:rFonts w:ascii="Times New Roman" w:eastAsia="宋体" w:hAnsi="Times New Roman" w:cs="Times New Roman" w:hint="eastAsia"/>
          <w:kern w:val="0"/>
          <w:szCs w:val="21"/>
        </w:rPr>
        <w:t>腐植酸对作物根系生长的影响</w:t>
      </w:r>
    </w:p>
    <w:p w14:paraId="6BEE9FA6"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szCs w:val="21"/>
        </w:rPr>
      </w:pPr>
      <w:bookmarkStart w:id="1" w:name="_Hlk2924357"/>
      <w:r>
        <w:rPr>
          <w:rFonts w:ascii="Times New Roman" w:hAnsi="Times New Roman"/>
          <w:noProof/>
        </w:rPr>
        <w:drawing>
          <wp:anchor distT="0" distB="0" distL="114935" distR="114935" simplePos="0" relativeHeight="251856896" behindDoc="0" locked="0" layoutInCell="1" allowOverlap="1" wp14:anchorId="7015FBE3" wp14:editId="166D13FA">
            <wp:simplePos x="0" y="0"/>
            <wp:positionH relativeFrom="column">
              <wp:posOffset>-203200</wp:posOffset>
            </wp:positionH>
            <wp:positionV relativeFrom="paragraph">
              <wp:posOffset>650240</wp:posOffset>
            </wp:positionV>
            <wp:extent cx="2933700" cy="187261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933700" cy="1872615"/>
                    </a:xfrm>
                    <a:prstGeom prst="rect">
                      <a:avLst/>
                    </a:prstGeom>
                    <a:noFill/>
                    <a:ln>
                      <a:noFill/>
                    </a:ln>
                  </pic:spPr>
                </pic:pic>
              </a:graphicData>
            </a:graphic>
            <wp14:sizeRelH relativeFrom="margin">
              <wp14:pctWidth>0</wp14:pctWidth>
            </wp14:sizeRelH>
          </wp:anchor>
        </w:drawing>
      </w:r>
      <w:r>
        <w:rPr>
          <w:rFonts w:ascii="Times New Roman" w:hAnsi="Times New Roman"/>
          <w:noProof/>
        </w:rPr>
        <w:drawing>
          <wp:anchor distT="0" distB="0" distL="114935" distR="114935" simplePos="0" relativeHeight="251855872" behindDoc="0" locked="0" layoutInCell="1" allowOverlap="1" wp14:anchorId="71A40F7F" wp14:editId="3DF36563">
            <wp:simplePos x="0" y="0"/>
            <wp:positionH relativeFrom="column">
              <wp:posOffset>2595880</wp:posOffset>
            </wp:positionH>
            <wp:positionV relativeFrom="paragraph">
              <wp:posOffset>610870</wp:posOffset>
            </wp:positionV>
            <wp:extent cx="2764790" cy="187325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2764790" cy="1873250"/>
                    </a:xfrm>
                    <a:prstGeom prst="rect">
                      <a:avLst/>
                    </a:prstGeom>
                    <a:noFill/>
                    <a:ln>
                      <a:noFill/>
                    </a:ln>
                  </pic:spPr>
                </pic:pic>
              </a:graphicData>
            </a:graphic>
          </wp:anchor>
        </w:drawing>
      </w:r>
      <w:r>
        <w:rPr>
          <w:rFonts w:ascii="Times New Roman" w:eastAsia="宋体" w:hAnsi="Times New Roman" w:hint="eastAsia"/>
          <w:szCs w:val="21"/>
        </w:rPr>
        <w:t>进行了玉米水培试验，</w:t>
      </w:r>
      <w:r>
        <w:rPr>
          <w:rFonts w:ascii="Times New Roman" w:eastAsia="宋体" w:hAnsi="Times New Roman"/>
          <w:szCs w:val="21"/>
        </w:rPr>
        <w:t>与</w:t>
      </w:r>
      <w:r>
        <w:rPr>
          <w:rFonts w:ascii="Times New Roman" w:eastAsia="宋体" w:hAnsi="Times New Roman" w:hint="eastAsia"/>
          <w:szCs w:val="21"/>
        </w:rPr>
        <w:t>未添加腐植酸处理</w:t>
      </w:r>
      <w:r>
        <w:rPr>
          <w:rFonts w:ascii="Times New Roman" w:eastAsia="宋体" w:hAnsi="Times New Roman" w:hint="eastAsia"/>
          <w:szCs w:val="21"/>
        </w:rPr>
        <w:t>CK</w:t>
      </w:r>
      <w:r>
        <w:rPr>
          <w:rFonts w:ascii="Times New Roman" w:eastAsia="宋体" w:hAnsi="Times New Roman" w:hint="eastAsia"/>
          <w:szCs w:val="21"/>
        </w:rPr>
        <w:t>相比，其他</w:t>
      </w:r>
      <w:r>
        <w:rPr>
          <w:rFonts w:ascii="Times New Roman" w:eastAsia="宋体" w:hAnsi="Times New Roman"/>
          <w:szCs w:val="21"/>
        </w:rPr>
        <w:t>各</w:t>
      </w:r>
      <w:r>
        <w:rPr>
          <w:rFonts w:ascii="Times New Roman" w:eastAsia="宋体" w:hAnsi="Times New Roman" w:hint="eastAsia"/>
          <w:szCs w:val="21"/>
        </w:rPr>
        <w:t>腐植酸</w:t>
      </w:r>
      <w:r>
        <w:rPr>
          <w:rFonts w:ascii="Times New Roman" w:eastAsia="宋体" w:hAnsi="Times New Roman"/>
          <w:szCs w:val="21"/>
        </w:rPr>
        <w:t>处理均可以提高玉米根系干重</w:t>
      </w:r>
      <w:bookmarkStart w:id="2" w:name="_Hlk520037993"/>
      <w:r>
        <w:rPr>
          <w:rFonts w:ascii="Times New Roman" w:eastAsia="宋体" w:hAnsi="Times New Roman"/>
          <w:szCs w:val="21"/>
        </w:rPr>
        <w:t>（图</w:t>
      </w:r>
      <w:r>
        <w:rPr>
          <w:rFonts w:ascii="Times New Roman" w:eastAsia="宋体" w:hAnsi="Times New Roman" w:hint="eastAsia"/>
          <w:szCs w:val="21"/>
        </w:rPr>
        <w:t>1</w:t>
      </w:r>
      <w:r>
        <w:rPr>
          <w:rFonts w:ascii="Times New Roman" w:eastAsia="宋体" w:hAnsi="Times New Roman"/>
          <w:szCs w:val="21"/>
        </w:rPr>
        <w:t>）</w:t>
      </w:r>
      <w:bookmarkEnd w:id="2"/>
      <w:r>
        <w:rPr>
          <w:rFonts w:ascii="Times New Roman" w:eastAsia="宋体" w:hAnsi="Times New Roman"/>
          <w:szCs w:val="21"/>
        </w:rPr>
        <w:t>，</w:t>
      </w:r>
      <w:bookmarkEnd w:id="1"/>
      <w:r>
        <w:rPr>
          <w:rFonts w:ascii="Times New Roman" w:eastAsia="宋体" w:hAnsi="Times New Roman"/>
          <w:szCs w:val="21"/>
        </w:rPr>
        <w:t>提高比例</w:t>
      </w:r>
      <w:r>
        <w:rPr>
          <w:rFonts w:ascii="Times New Roman" w:eastAsia="宋体" w:hAnsi="Times New Roman" w:hint="eastAsia"/>
          <w:szCs w:val="21"/>
        </w:rPr>
        <w:t>达</w:t>
      </w:r>
      <w:r>
        <w:rPr>
          <w:rFonts w:ascii="Times New Roman" w:eastAsia="宋体" w:hAnsi="Times New Roman"/>
          <w:szCs w:val="21"/>
        </w:rPr>
        <w:t>64.7%-94.9%</w:t>
      </w:r>
      <w:r>
        <w:rPr>
          <w:rFonts w:ascii="Times New Roman" w:eastAsia="宋体" w:hAnsi="Times New Roman" w:hint="eastAsia"/>
          <w:szCs w:val="21"/>
        </w:rPr>
        <w:t>；同时，显著的提高了根系活力（图</w:t>
      </w:r>
      <w:r>
        <w:rPr>
          <w:rFonts w:ascii="Times New Roman" w:eastAsia="宋体" w:hAnsi="Times New Roman" w:hint="eastAsia"/>
          <w:szCs w:val="21"/>
        </w:rPr>
        <w:t>2</w:t>
      </w:r>
      <w:r>
        <w:rPr>
          <w:rFonts w:ascii="Times New Roman" w:eastAsia="宋体" w:hAnsi="Times New Roman" w:hint="eastAsia"/>
          <w:szCs w:val="21"/>
        </w:rPr>
        <w:t>），提高幅度在</w:t>
      </w:r>
      <w:r>
        <w:rPr>
          <w:rFonts w:ascii="Times New Roman" w:eastAsia="宋体" w:hAnsi="Times New Roman"/>
          <w:szCs w:val="21"/>
        </w:rPr>
        <w:t>83.6%-104.9%</w:t>
      </w:r>
      <w:r>
        <w:rPr>
          <w:rFonts w:ascii="Times New Roman" w:eastAsia="宋体" w:hAnsi="Times New Roman" w:hint="eastAsia"/>
          <w:szCs w:val="21"/>
        </w:rPr>
        <w:t>之间。由此可见，添加腐植酸对作物生长具有良好的促进作用。</w:t>
      </w:r>
    </w:p>
    <w:p w14:paraId="3C6FA12F"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218767E9" w14:textId="77777777" w:rsidR="005577A2" w:rsidRDefault="005577A2" w:rsidP="005577A2">
      <w:pPr>
        <w:adjustRightInd w:val="0"/>
        <w:snapToGrid w:val="0"/>
        <w:spacing w:afterLines="50" w:after="156" w:line="300" w:lineRule="auto"/>
        <w:jc w:val="left"/>
        <w:rPr>
          <w:rFonts w:ascii="Times New Roman" w:eastAsia="宋体" w:hAnsi="Times New Roman" w:cs="Times New Roman"/>
          <w:kern w:val="0"/>
          <w:szCs w:val="21"/>
        </w:rPr>
      </w:pPr>
    </w:p>
    <w:p w14:paraId="62AA1555" w14:textId="77777777" w:rsidR="005577A2" w:rsidRDefault="005577A2" w:rsidP="005577A2">
      <w:pPr>
        <w:adjustRightInd w:val="0"/>
        <w:snapToGrid w:val="0"/>
        <w:spacing w:afterLines="50" w:after="156" w:line="300" w:lineRule="auto"/>
        <w:jc w:val="left"/>
        <w:rPr>
          <w:rFonts w:ascii="Times New Roman" w:eastAsia="宋体" w:hAnsi="Times New Roman" w:cs="Times New Roman"/>
          <w:kern w:val="0"/>
          <w:szCs w:val="21"/>
        </w:rPr>
      </w:pPr>
    </w:p>
    <w:p w14:paraId="320146DB" w14:textId="77777777" w:rsidR="005577A2" w:rsidRDefault="005577A2" w:rsidP="005577A2">
      <w:pPr>
        <w:adjustRightInd w:val="0"/>
        <w:snapToGrid w:val="0"/>
        <w:spacing w:afterLines="50" w:after="156" w:line="300" w:lineRule="auto"/>
        <w:jc w:val="left"/>
        <w:rPr>
          <w:rFonts w:ascii="Times New Roman" w:eastAsia="宋体" w:hAnsi="Times New Roman" w:cs="Times New Roman"/>
          <w:kern w:val="0"/>
          <w:szCs w:val="21"/>
        </w:rPr>
      </w:pPr>
    </w:p>
    <w:p w14:paraId="76080564" w14:textId="77777777" w:rsidR="005577A2" w:rsidRDefault="005577A2" w:rsidP="005577A2">
      <w:pPr>
        <w:adjustRightInd w:val="0"/>
        <w:snapToGrid w:val="0"/>
        <w:spacing w:afterLines="50" w:after="156" w:line="300" w:lineRule="auto"/>
        <w:jc w:val="left"/>
        <w:rPr>
          <w:rFonts w:ascii="Times New Roman" w:eastAsia="宋体" w:hAnsi="Times New Roman" w:cs="Times New Roman"/>
          <w:kern w:val="0"/>
          <w:szCs w:val="21"/>
        </w:rPr>
      </w:pPr>
    </w:p>
    <w:p w14:paraId="2CC3B242" w14:textId="77777777" w:rsidR="005577A2" w:rsidRDefault="005577A2" w:rsidP="005577A2">
      <w:pPr>
        <w:adjustRightInd w:val="0"/>
        <w:snapToGrid w:val="0"/>
        <w:spacing w:afterLines="50" w:after="156" w:line="300" w:lineRule="auto"/>
        <w:jc w:val="left"/>
        <w:rPr>
          <w:rFonts w:ascii="Times New Roman" w:eastAsia="宋体" w:hAnsi="Times New Roman" w:cs="Times New Roman"/>
          <w:kern w:val="0"/>
          <w:szCs w:val="21"/>
        </w:rPr>
      </w:pPr>
    </w:p>
    <w:p w14:paraId="6A9A5B3A"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图</w:t>
      </w:r>
      <w:r>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添加腐植酸对玉米干重的影响图</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图</w:t>
      </w:r>
      <w:r>
        <w:rPr>
          <w:rFonts w:ascii="Times New Roman" w:eastAsia="宋体" w:hAnsi="Times New Roman" w:cs="Times New Roman" w:hint="eastAsia"/>
          <w:kern w:val="0"/>
          <w:szCs w:val="21"/>
        </w:rPr>
        <w:t xml:space="preserve">2 </w:t>
      </w:r>
      <w:r>
        <w:rPr>
          <w:rFonts w:ascii="Times New Roman" w:eastAsia="宋体" w:hAnsi="Times New Roman" w:cs="Times New Roman" w:hint="eastAsia"/>
          <w:kern w:val="0"/>
          <w:szCs w:val="21"/>
        </w:rPr>
        <w:t>添加腐植酸对玉米根系活力的影响</w:t>
      </w:r>
    </w:p>
    <w:p w14:paraId="3EAAA453"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r>
        <w:rPr>
          <w:noProof/>
        </w:rPr>
        <w:drawing>
          <wp:anchor distT="0" distB="0" distL="114935" distR="114935" simplePos="0" relativeHeight="251857920" behindDoc="0" locked="0" layoutInCell="1" allowOverlap="1" wp14:anchorId="3D855052" wp14:editId="3E672CF6">
            <wp:simplePos x="0" y="0"/>
            <wp:positionH relativeFrom="column">
              <wp:posOffset>18415</wp:posOffset>
            </wp:positionH>
            <wp:positionV relativeFrom="paragraph">
              <wp:posOffset>1362710</wp:posOffset>
            </wp:positionV>
            <wp:extent cx="3154045" cy="2075180"/>
            <wp:effectExtent l="0" t="0" r="8255" b="0"/>
            <wp:wrapNone/>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3154045" cy="2075180"/>
                    </a:xfrm>
                    <a:prstGeom prst="rect">
                      <a:avLst/>
                    </a:prstGeom>
                    <a:noFill/>
                    <a:ln>
                      <a:noFill/>
                    </a:ln>
                  </pic:spPr>
                </pic:pic>
              </a:graphicData>
            </a:graphic>
          </wp:anchor>
        </w:drawing>
      </w:r>
      <w:r>
        <w:rPr>
          <w:noProof/>
        </w:rPr>
        <w:drawing>
          <wp:anchor distT="0" distB="0" distL="114935" distR="114935" simplePos="0" relativeHeight="251860992" behindDoc="0" locked="0" layoutInCell="1" allowOverlap="1" wp14:anchorId="1734A4AC" wp14:editId="599E2304">
            <wp:simplePos x="0" y="0"/>
            <wp:positionH relativeFrom="column">
              <wp:posOffset>3327400</wp:posOffset>
            </wp:positionH>
            <wp:positionV relativeFrom="paragraph">
              <wp:posOffset>1381760</wp:posOffset>
            </wp:positionV>
            <wp:extent cx="1627505" cy="1725930"/>
            <wp:effectExtent l="0" t="0" r="0" b="7620"/>
            <wp:wrapNone/>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1"/>
                    <a:stretch>
                      <a:fillRect/>
                    </a:stretch>
                  </pic:blipFill>
                  <pic:spPr>
                    <a:xfrm>
                      <a:off x="0" y="0"/>
                      <a:ext cx="1627505" cy="1725930"/>
                    </a:xfrm>
                    <a:prstGeom prst="rect">
                      <a:avLst/>
                    </a:prstGeom>
                  </pic:spPr>
                </pic:pic>
              </a:graphicData>
            </a:graphic>
          </wp:anchor>
        </w:drawing>
      </w:r>
      <w:r>
        <w:rPr>
          <w:rFonts w:ascii="Times New Roman" w:eastAsia="宋体" w:hAnsi="Times New Roman" w:cs="Times New Roman" w:hint="eastAsia"/>
          <w:kern w:val="0"/>
          <w:szCs w:val="21"/>
        </w:rPr>
        <w:t>进一步说明腐植酸对作物生长的促进作用，继续做了腐植酸对玉米根系的局部刺激效应试验。结果表明，</w:t>
      </w:r>
      <w:r>
        <w:rPr>
          <w:rFonts w:ascii="Times New Roman" w:eastAsia="宋体" w:hAnsi="Times New Roman" w:hint="eastAsia"/>
          <w:szCs w:val="24"/>
        </w:rPr>
        <w:t>腐植酸</w:t>
      </w:r>
      <w:r>
        <w:rPr>
          <w:rFonts w:ascii="Times New Roman" w:eastAsia="宋体" w:hAnsi="Times New Roman"/>
          <w:szCs w:val="24"/>
        </w:rPr>
        <w:t>单侧刺激玉米能够提高玉米处理侧和对照侧的根鲜重（图</w:t>
      </w:r>
      <w:r>
        <w:rPr>
          <w:rFonts w:ascii="Times New Roman" w:eastAsia="宋体" w:hAnsi="Times New Roman" w:hint="eastAsia"/>
          <w:szCs w:val="24"/>
        </w:rPr>
        <w:t>3</w:t>
      </w:r>
      <w:r>
        <w:rPr>
          <w:rFonts w:ascii="Times New Roman" w:eastAsia="宋体" w:hAnsi="Times New Roman"/>
          <w:szCs w:val="24"/>
        </w:rPr>
        <w:t>），与对照相比，处理侧提高</w:t>
      </w:r>
      <w:bookmarkStart w:id="3" w:name="_Hlk3302992"/>
      <w:r>
        <w:rPr>
          <w:rFonts w:ascii="Times New Roman" w:eastAsia="宋体" w:hAnsi="Times New Roman"/>
          <w:szCs w:val="24"/>
        </w:rPr>
        <w:t>21.88%-78.61%</w:t>
      </w:r>
      <w:bookmarkEnd w:id="3"/>
      <w:r>
        <w:rPr>
          <w:rFonts w:ascii="Times New Roman" w:eastAsia="宋体" w:hAnsi="Times New Roman"/>
          <w:szCs w:val="24"/>
        </w:rPr>
        <w:t>，对照侧提高</w:t>
      </w:r>
      <w:bookmarkStart w:id="4" w:name="_Hlk3303020"/>
      <w:r>
        <w:rPr>
          <w:rFonts w:ascii="Times New Roman" w:eastAsia="宋体" w:hAnsi="Times New Roman"/>
          <w:szCs w:val="24"/>
        </w:rPr>
        <w:t>27.91%-49.34%</w:t>
      </w:r>
      <w:bookmarkEnd w:id="4"/>
      <w:r>
        <w:rPr>
          <w:rFonts w:ascii="Times New Roman" w:eastAsia="宋体" w:hAnsi="Times New Roman"/>
          <w:szCs w:val="24"/>
        </w:rPr>
        <w:t>。因此，</w:t>
      </w:r>
      <w:r>
        <w:rPr>
          <w:rFonts w:ascii="Times New Roman" w:eastAsia="宋体" w:hAnsi="Times New Roman" w:hint="eastAsia"/>
          <w:szCs w:val="24"/>
        </w:rPr>
        <w:t>腐植酸</w:t>
      </w:r>
      <w:r>
        <w:rPr>
          <w:rFonts w:ascii="Times New Roman" w:eastAsia="宋体" w:hAnsi="Times New Roman"/>
          <w:szCs w:val="24"/>
        </w:rPr>
        <w:t>对玉米根系的促进作用是整体效应。</w:t>
      </w:r>
      <w:r>
        <w:rPr>
          <w:rFonts w:ascii="Times New Roman" w:eastAsia="宋体" w:hAnsi="Times New Roman" w:hint="eastAsia"/>
          <w:szCs w:val="24"/>
        </w:rPr>
        <w:t>腐植酸</w:t>
      </w:r>
      <w:r>
        <w:rPr>
          <w:rFonts w:ascii="Times New Roman" w:eastAsia="宋体" w:hAnsi="Times New Roman"/>
          <w:szCs w:val="24"/>
        </w:rPr>
        <w:t>单侧刺激玉米根系时，各处理整株玉米的根鲜重均有提高。将</w:t>
      </w:r>
      <w:r>
        <w:rPr>
          <w:rFonts w:ascii="Times New Roman" w:eastAsia="宋体" w:hAnsi="Times New Roman"/>
          <w:szCs w:val="24"/>
        </w:rPr>
        <w:t>HA</w:t>
      </w:r>
      <w:r>
        <w:rPr>
          <w:rFonts w:ascii="Times New Roman" w:eastAsia="宋体" w:hAnsi="Times New Roman"/>
          <w:szCs w:val="24"/>
        </w:rPr>
        <w:t>、</w:t>
      </w:r>
      <w:r>
        <w:rPr>
          <w:rFonts w:ascii="Times New Roman" w:eastAsia="宋体" w:hAnsi="Times New Roman"/>
          <w:szCs w:val="24"/>
        </w:rPr>
        <w:t>OHA3</w:t>
      </w:r>
      <w:r>
        <w:rPr>
          <w:rFonts w:ascii="Times New Roman" w:eastAsia="宋体" w:hAnsi="Times New Roman"/>
          <w:szCs w:val="24"/>
        </w:rPr>
        <w:t>和</w:t>
      </w:r>
      <w:r>
        <w:rPr>
          <w:rFonts w:ascii="Times New Roman" w:eastAsia="宋体" w:hAnsi="Times New Roman"/>
          <w:szCs w:val="24"/>
        </w:rPr>
        <w:t>OHA6</w:t>
      </w:r>
      <w:r>
        <w:rPr>
          <w:rFonts w:ascii="Times New Roman" w:eastAsia="宋体" w:hAnsi="Times New Roman"/>
          <w:szCs w:val="24"/>
        </w:rPr>
        <w:t>处理的玉米根系的处理侧和对照侧分别加和处理，</w:t>
      </w:r>
      <w:r>
        <w:rPr>
          <w:rFonts w:ascii="Times New Roman" w:eastAsia="宋体" w:hAnsi="Times New Roman" w:hint="eastAsia"/>
          <w:szCs w:val="24"/>
        </w:rPr>
        <w:t>结果</w:t>
      </w:r>
      <w:r>
        <w:rPr>
          <w:rFonts w:ascii="Times New Roman" w:eastAsia="宋体" w:hAnsi="Times New Roman"/>
          <w:szCs w:val="24"/>
        </w:rPr>
        <w:t>发现，处理侧比对照侧的玉米根鲜重提高</w:t>
      </w:r>
      <w:r>
        <w:rPr>
          <w:rFonts w:ascii="Times New Roman" w:eastAsia="宋体" w:hAnsi="Times New Roman"/>
          <w:szCs w:val="24"/>
        </w:rPr>
        <w:t>17.54%</w:t>
      </w:r>
    </w:p>
    <w:p w14:paraId="336EDF57"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3F7AE89E"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693AD155"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107DA537"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3F37E1B5"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5DDAB578"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r>
        <w:rPr>
          <w:noProof/>
        </w:rPr>
        <mc:AlternateContent>
          <mc:Choice Requires="wps">
            <w:drawing>
              <wp:anchor distT="0" distB="0" distL="114300" distR="114300" simplePos="0" relativeHeight="251859968" behindDoc="0" locked="0" layoutInCell="1" allowOverlap="1" wp14:anchorId="22B223B3" wp14:editId="27105C4D">
                <wp:simplePos x="0" y="0"/>
                <wp:positionH relativeFrom="column">
                  <wp:posOffset>4565015</wp:posOffset>
                </wp:positionH>
                <wp:positionV relativeFrom="paragraph">
                  <wp:posOffset>105410</wp:posOffset>
                </wp:positionV>
                <wp:extent cx="737235" cy="276860"/>
                <wp:effectExtent l="0" t="0" r="0" b="0"/>
                <wp:wrapNone/>
                <wp:docPr id="16" name="TextBox 15"/>
                <wp:cNvGraphicFramePr/>
                <a:graphic xmlns:a="http://schemas.openxmlformats.org/drawingml/2006/main">
                  <a:graphicData uri="http://schemas.microsoft.com/office/word/2010/wordprocessingShape">
                    <wps:wsp>
                      <wps:cNvSpPr txBox="1"/>
                      <wps:spPr>
                        <a:xfrm>
                          <a:off x="0" y="0"/>
                          <a:ext cx="737361" cy="276999"/>
                        </a:xfrm>
                        <a:prstGeom prst="rect">
                          <a:avLst/>
                        </a:prstGeom>
                        <a:noFill/>
                      </wps:spPr>
                      <wps:txbx>
                        <w:txbxContent>
                          <w:p w14:paraId="1D8FB364" w14:textId="77777777" w:rsidR="00095131" w:rsidRDefault="00095131" w:rsidP="005577A2">
                            <w:pPr>
                              <w:pStyle w:val="ac"/>
                              <w:jc w:val="left"/>
                            </w:pPr>
                            <w:r>
                              <w:rPr>
                                <w:rFonts w:hAnsiTheme="minorBidi"/>
                                <w:b/>
                                <w:color w:val="FFFFFF" w:themeColor="background1"/>
                                <w:kern w:val="24"/>
                                <w:szCs w:val="24"/>
                              </w:rPr>
                              <w:t>OHA6</w:t>
                            </w:r>
                          </w:p>
                        </w:txbxContent>
                      </wps:txbx>
                      <wps:bodyPr wrap="square" rtlCol="0">
                        <a:spAutoFit/>
                      </wps:bodyPr>
                    </wps:wsp>
                  </a:graphicData>
                </a:graphic>
              </wp:anchor>
            </w:drawing>
          </mc:Choice>
          <mc:Fallback>
            <w:pict>
              <v:shapetype w14:anchorId="22B223B3" id="_x0000_t202" coordsize="21600,21600" o:spt="202" path="m,l,21600r21600,l21600,xe">
                <v:stroke joinstyle="miter"/>
                <v:path gradientshapeok="t" o:connecttype="rect"/>
              </v:shapetype>
              <v:shape id="TextBox 15" o:spid="_x0000_s1026" type="#_x0000_t202" style="position:absolute;left:0;text-align:left;margin-left:359.45pt;margin-top:8.3pt;width:58.05pt;height:21.8pt;z-index:251859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" filled="f" stroked="f">
                <v:textbox style="mso-fit-shape-to-text:t">
                  <w:txbxContent>
                    <w:p w14:paraId="1D8FB364" w14:textId="77777777" w:rsidR="00095131" w:rsidRDefault="00095131" w:rsidP="005577A2">
                      <w:pPr>
                        <w:pStyle w:val="ac"/>
                        <w:jc w:val="left"/>
                      </w:pPr>
                      <w:r>
                        <w:rPr>
                          <w:rFonts w:hAnsiTheme="minorBidi"/>
                          <w:b/>
                          <w:color w:val="FFFFFF" w:themeColor="background1"/>
                          <w:kern w:val="24"/>
                          <w:szCs w:val="24"/>
                        </w:rPr>
                        <w:t>OHA6</w:t>
                      </w:r>
                    </w:p>
                  </w:txbxContent>
                </v:textbox>
              </v:shape>
            </w:pict>
          </mc:Fallback>
        </mc:AlternateContent>
      </w:r>
      <w:r>
        <w:rPr>
          <w:noProof/>
        </w:rPr>
        <mc:AlternateContent>
          <mc:Choice Requires="wps">
            <w:drawing>
              <wp:anchor distT="0" distB="0" distL="114300" distR="114300" simplePos="0" relativeHeight="251858944" behindDoc="0" locked="0" layoutInCell="1" allowOverlap="1" wp14:anchorId="39B1BA62" wp14:editId="72481538">
                <wp:simplePos x="0" y="0"/>
                <wp:positionH relativeFrom="column">
                  <wp:posOffset>3527425</wp:posOffset>
                </wp:positionH>
                <wp:positionV relativeFrom="paragraph">
                  <wp:posOffset>88900</wp:posOffset>
                </wp:positionV>
                <wp:extent cx="737235" cy="275590"/>
                <wp:effectExtent l="0" t="0" r="0" b="0"/>
                <wp:wrapNone/>
                <wp:docPr id="13" name="TextBox 1"/>
                <wp:cNvGraphicFramePr/>
                <a:graphic xmlns:a="http://schemas.openxmlformats.org/drawingml/2006/main">
                  <a:graphicData uri="http://schemas.microsoft.com/office/word/2010/wordprocessingShape">
                    <wps:wsp>
                      <wps:cNvSpPr txBox="1"/>
                      <wps:spPr>
                        <a:xfrm>
                          <a:off x="0" y="0"/>
                          <a:ext cx="737235" cy="275590"/>
                        </a:xfrm>
                        <a:prstGeom prst="rect">
                          <a:avLst/>
                        </a:prstGeom>
                        <a:noFill/>
                      </wps:spPr>
                      <wps:txbx>
                        <w:txbxContent>
                          <w:p w14:paraId="6CC110E4" w14:textId="77777777" w:rsidR="00095131" w:rsidRDefault="00095131" w:rsidP="005577A2">
                            <w:pPr>
                              <w:pStyle w:val="ac"/>
                              <w:jc w:val="left"/>
                            </w:pPr>
                            <w:r>
                              <w:rPr>
                                <w:rFonts w:hAnsiTheme="minorBidi"/>
                                <w:b/>
                                <w:color w:val="FFFFFF" w:themeColor="background1"/>
                                <w:kern w:val="24"/>
                                <w:szCs w:val="24"/>
                              </w:rPr>
                              <w:t>OHA3</w:t>
                            </w:r>
                          </w:p>
                        </w:txbxContent>
                      </wps:txbx>
                      <wps:bodyPr wrap="square" rtlCol="0">
                        <a:spAutoFit/>
                      </wps:bodyPr>
                    </wps:wsp>
                  </a:graphicData>
                </a:graphic>
              </wp:anchor>
            </w:drawing>
          </mc:Choice>
          <mc:Fallback>
            <w:pict>
              <v:shape w14:anchorId="39B1BA62" id="TextBox 1" o:spid="_x0000_s1027" type="#_x0000_t202" style="position:absolute;left:0;text-align:left;margin-left:277.75pt;margin-top:7pt;width:58.05pt;height:21.7pt;z-index:251858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" filled="f" stroked="f">
                <v:textbox style="mso-fit-shape-to-text:t">
                  <w:txbxContent>
                    <w:p w14:paraId="6CC110E4" w14:textId="77777777" w:rsidR="00095131" w:rsidRDefault="00095131" w:rsidP="005577A2">
                      <w:pPr>
                        <w:pStyle w:val="ac"/>
                        <w:jc w:val="left"/>
                      </w:pPr>
                      <w:r>
                        <w:rPr>
                          <w:rFonts w:hAnsiTheme="minorBidi"/>
                          <w:b/>
                          <w:color w:val="FFFFFF" w:themeColor="background1"/>
                          <w:kern w:val="24"/>
                          <w:szCs w:val="24"/>
                        </w:rPr>
                        <w:t>OHA3</w:t>
                      </w:r>
                    </w:p>
                  </w:txbxContent>
                </v:textbox>
              </v:shape>
            </w:pict>
          </mc:Fallback>
        </mc:AlternateContent>
      </w:r>
    </w:p>
    <w:p w14:paraId="2A7098D5" w14:textId="77777777" w:rsidR="005577A2" w:rsidRDefault="005577A2" w:rsidP="005577A2">
      <w:pPr>
        <w:adjustRightInd w:val="0"/>
        <w:snapToGrid w:val="0"/>
        <w:spacing w:afterLines="50" w:after="156" w:line="300" w:lineRule="auto"/>
        <w:jc w:val="left"/>
        <w:rPr>
          <w:rFonts w:ascii="Times New Roman" w:eastAsia="宋体" w:hAnsi="Times New Roman" w:cs="Times New Roman"/>
          <w:kern w:val="0"/>
          <w:szCs w:val="21"/>
        </w:rPr>
      </w:pPr>
    </w:p>
    <w:p w14:paraId="3CA3EDDC"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图</w:t>
      </w:r>
      <w:r>
        <w:rPr>
          <w:rFonts w:ascii="Times New Roman" w:eastAsia="宋体" w:hAnsi="Times New Roman" w:cs="Times New Roman" w:hint="eastAsia"/>
          <w:kern w:val="0"/>
          <w:szCs w:val="21"/>
        </w:rPr>
        <w:t xml:space="preserve">3 </w:t>
      </w:r>
      <w:r>
        <w:rPr>
          <w:rFonts w:ascii="Times New Roman" w:eastAsia="宋体" w:hAnsi="Times New Roman" w:cs="Times New Roman" w:hint="eastAsia"/>
          <w:kern w:val="0"/>
          <w:szCs w:val="21"/>
        </w:rPr>
        <w:t>腐植酸局部刺激对玉米根系鲜重的影响</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图</w:t>
      </w:r>
      <w:r>
        <w:rPr>
          <w:rFonts w:ascii="Times New Roman" w:eastAsia="宋体" w:hAnsi="Times New Roman" w:cs="Times New Roman" w:hint="eastAsia"/>
          <w:kern w:val="0"/>
          <w:szCs w:val="21"/>
        </w:rPr>
        <w:t xml:space="preserve">4 </w:t>
      </w:r>
      <w:r>
        <w:rPr>
          <w:rFonts w:ascii="Times New Roman" w:eastAsia="宋体" w:hAnsi="Times New Roman" w:cs="Times New Roman" w:hint="eastAsia"/>
          <w:kern w:val="0"/>
          <w:szCs w:val="21"/>
        </w:rPr>
        <w:t>腐植酸局部刺激玉米生长情况</w:t>
      </w:r>
    </w:p>
    <w:p w14:paraId="77E8D986" w14:textId="77777777" w:rsidR="005577A2" w:rsidRDefault="005577A2" w:rsidP="005577A2">
      <w:pPr>
        <w:adjustRightInd w:val="0"/>
        <w:snapToGrid w:val="0"/>
        <w:spacing w:afterLines="50" w:after="156" w:line="300" w:lineRule="auto"/>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2.2 </w:t>
      </w:r>
      <w:r>
        <w:rPr>
          <w:rFonts w:ascii="Times New Roman" w:eastAsia="宋体" w:hAnsi="Times New Roman" w:cs="Times New Roman" w:hint="eastAsia"/>
          <w:kern w:val="0"/>
          <w:szCs w:val="21"/>
        </w:rPr>
        <w:t>不同分子量腐植酸对作物生长的影响</w:t>
      </w:r>
    </w:p>
    <w:p w14:paraId="3AEDEA42" w14:textId="77777777" w:rsidR="005577A2" w:rsidRDefault="005577A2" w:rsidP="005577A2">
      <w:pPr>
        <w:adjustRightInd w:val="0"/>
        <w:snapToGrid w:val="0"/>
        <w:spacing w:line="300" w:lineRule="auto"/>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sidR="000E2D17">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不同分子量腐植酸的结构特征</w:t>
      </w:r>
    </w:p>
    <w:p w14:paraId="5440B420" w14:textId="77777777" w:rsidR="005577A2" w:rsidRDefault="005577A2" w:rsidP="005577A2">
      <w:pPr>
        <w:adjustRightInd w:val="0"/>
        <w:snapToGrid w:val="0"/>
        <w:spacing w:line="360" w:lineRule="exact"/>
        <w:ind w:firstLine="420"/>
        <w:rPr>
          <w:rFonts w:ascii="Times New Roman" w:eastAsia="宋体" w:hAnsi="Times New Roman"/>
          <w:szCs w:val="24"/>
        </w:rPr>
      </w:pPr>
      <w:r>
        <w:rPr>
          <w:rFonts w:ascii="Times New Roman" w:eastAsia="宋体" w:hAnsi="Times New Roman" w:hint="eastAsia"/>
          <w:szCs w:val="24"/>
        </w:rPr>
        <w:t>对腐植酸进行超滤分级，得到不同分子量的腐植酸，进行</w:t>
      </w:r>
      <w:r>
        <w:rPr>
          <w:rFonts w:ascii="Times New Roman" w:eastAsia="宋体" w:hAnsi="Times New Roman"/>
          <w:szCs w:val="24"/>
        </w:rPr>
        <w:t>固态</w:t>
      </w:r>
      <w:r>
        <w:rPr>
          <w:rFonts w:ascii="Times New Roman" w:eastAsia="宋体" w:hAnsi="Times New Roman"/>
          <w:szCs w:val="21"/>
          <w:vertAlign w:val="superscript"/>
        </w:rPr>
        <w:t>13</w:t>
      </w:r>
      <w:r>
        <w:rPr>
          <w:rFonts w:ascii="Times New Roman" w:eastAsia="宋体" w:hAnsi="Times New Roman"/>
          <w:szCs w:val="21"/>
        </w:rPr>
        <w:t>C-CP / MAS-NMR</w:t>
      </w:r>
      <w:r>
        <w:rPr>
          <w:rFonts w:ascii="Times New Roman" w:eastAsia="宋体" w:hAnsi="Times New Roman"/>
          <w:szCs w:val="21"/>
        </w:rPr>
        <w:t>光谱</w:t>
      </w:r>
      <w:r>
        <w:rPr>
          <w:rFonts w:ascii="Times New Roman" w:eastAsia="宋体" w:hAnsi="Times New Roman" w:hint="eastAsia"/>
          <w:szCs w:val="21"/>
        </w:rPr>
        <w:t>测定</w:t>
      </w:r>
      <w:r w:rsidR="000E2D17">
        <w:rPr>
          <w:rFonts w:ascii="Times New Roman" w:eastAsia="宋体" w:hAnsi="Times New Roman" w:hint="eastAsia"/>
          <w:szCs w:val="21"/>
        </w:rPr>
        <w:t>（表</w:t>
      </w:r>
      <w:r w:rsidR="000E2D17">
        <w:rPr>
          <w:rFonts w:ascii="Times New Roman" w:eastAsia="宋体" w:hAnsi="Times New Roman" w:hint="eastAsia"/>
          <w:szCs w:val="21"/>
        </w:rPr>
        <w:t>3</w:t>
      </w:r>
      <w:r w:rsidR="000E2D17">
        <w:rPr>
          <w:rFonts w:ascii="Times New Roman" w:eastAsia="宋体" w:hAnsi="Times New Roman" w:hint="eastAsia"/>
          <w:szCs w:val="21"/>
        </w:rPr>
        <w:t>）</w:t>
      </w:r>
      <w:r>
        <w:rPr>
          <w:rFonts w:ascii="Times New Roman" w:eastAsia="宋体" w:hAnsi="Times New Roman" w:hint="eastAsia"/>
          <w:szCs w:val="21"/>
        </w:rPr>
        <w:t>，</w:t>
      </w:r>
      <w:r>
        <w:rPr>
          <w:rFonts w:ascii="Times New Roman" w:eastAsia="宋体" w:hAnsi="Times New Roman"/>
          <w:szCs w:val="21"/>
        </w:rPr>
        <w:t>可知，所有腐植酸的超滤产物均含有烷基碳、甲氧基碳、</w:t>
      </w:r>
      <w:r>
        <w:rPr>
          <w:rFonts w:ascii="Times New Roman" w:eastAsia="宋体" w:hAnsi="Times New Roman"/>
          <w:szCs w:val="21"/>
        </w:rPr>
        <w:t>N-</w:t>
      </w:r>
      <w:r>
        <w:rPr>
          <w:rFonts w:ascii="Times New Roman" w:eastAsia="宋体" w:hAnsi="Times New Roman"/>
          <w:szCs w:val="21"/>
        </w:rPr>
        <w:t>烷基碳、</w:t>
      </w:r>
      <w:r>
        <w:rPr>
          <w:rFonts w:ascii="Times New Roman" w:eastAsia="宋体" w:hAnsi="Times New Roman"/>
          <w:szCs w:val="21"/>
        </w:rPr>
        <w:t>O-</w:t>
      </w:r>
      <w:r>
        <w:rPr>
          <w:rFonts w:ascii="Times New Roman" w:eastAsia="宋体" w:hAnsi="Times New Roman"/>
          <w:szCs w:val="21"/>
        </w:rPr>
        <w:t>烷基</w:t>
      </w:r>
      <w:r>
        <w:rPr>
          <w:rFonts w:ascii="Times New Roman" w:eastAsia="宋体" w:hAnsi="Times New Roman"/>
          <w:szCs w:val="21"/>
        </w:rPr>
        <w:lastRenderedPageBreak/>
        <w:t>碳、二</w:t>
      </w:r>
      <w:r>
        <w:rPr>
          <w:rFonts w:ascii="Times New Roman" w:eastAsia="宋体" w:hAnsi="Times New Roman"/>
          <w:szCs w:val="21"/>
        </w:rPr>
        <w:t>-O-</w:t>
      </w:r>
      <w:r>
        <w:rPr>
          <w:rFonts w:ascii="Times New Roman" w:eastAsia="宋体" w:hAnsi="Times New Roman"/>
          <w:szCs w:val="21"/>
        </w:rPr>
        <w:t>烷基碳、芳香碳、</w:t>
      </w:r>
      <w:bookmarkStart w:id="5" w:name="_Hlk1940148"/>
      <w:r>
        <w:rPr>
          <w:rFonts w:ascii="Times New Roman" w:eastAsia="宋体" w:hAnsi="Times New Roman"/>
          <w:szCs w:val="21"/>
        </w:rPr>
        <w:t>O-</w:t>
      </w:r>
      <w:r>
        <w:rPr>
          <w:rFonts w:ascii="Times New Roman" w:eastAsia="宋体" w:hAnsi="Times New Roman"/>
          <w:szCs w:val="21"/>
        </w:rPr>
        <w:t>芳香碳</w:t>
      </w:r>
      <w:bookmarkEnd w:id="5"/>
      <w:r>
        <w:rPr>
          <w:rFonts w:ascii="Times New Roman" w:eastAsia="宋体" w:hAnsi="Times New Roman"/>
          <w:szCs w:val="21"/>
        </w:rPr>
        <w:t>、</w:t>
      </w:r>
      <w:bookmarkStart w:id="6" w:name="_Hlk1939904"/>
      <w:r>
        <w:rPr>
          <w:rFonts w:ascii="Times New Roman" w:eastAsia="宋体" w:hAnsi="Times New Roman"/>
          <w:szCs w:val="21"/>
        </w:rPr>
        <w:t>羧基碳</w:t>
      </w:r>
      <w:bookmarkEnd w:id="6"/>
      <w:r>
        <w:rPr>
          <w:rFonts w:ascii="Times New Roman" w:eastAsia="宋体" w:hAnsi="Times New Roman"/>
          <w:szCs w:val="21"/>
        </w:rPr>
        <w:t>和羰基碳。其中，芳香碳的含量均为最高，其次为羧基碳</w:t>
      </w:r>
      <w:r>
        <w:rPr>
          <w:rFonts w:ascii="Times New Roman" w:eastAsia="宋体" w:hAnsi="Times New Roman"/>
          <w:szCs w:val="24"/>
        </w:rPr>
        <w:t>。不同腐植酸超滤产物各分子量段的腐植酸呈现出相同的规律。对于</w:t>
      </w:r>
      <w:r>
        <w:rPr>
          <w:rFonts w:ascii="Times New Roman" w:eastAsia="宋体" w:hAnsi="Times New Roman"/>
          <w:szCs w:val="21"/>
        </w:rPr>
        <w:t>芳香碳含量，其大小顺序依次为：大分子量腐植酸</w:t>
      </w:r>
      <w:r>
        <w:rPr>
          <w:rFonts w:ascii="Times New Roman" w:eastAsia="宋体" w:hAnsi="Times New Roman"/>
          <w:szCs w:val="21"/>
        </w:rPr>
        <w:t>&gt;</w:t>
      </w:r>
      <w:r>
        <w:rPr>
          <w:rFonts w:ascii="Times New Roman" w:eastAsia="宋体" w:hAnsi="Times New Roman"/>
          <w:szCs w:val="21"/>
        </w:rPr>
        <w:t>中分子量腐植酸</w:t>
      </w:r>
      <w:r>
        <w:rPr>
          <w:rFonts w:ascii="Times New Roman" w:eastAsia="宋体" w:hAnsi="Times New Roman"/>
          <w:szCs w:val="21"/>
        </w:rPr>
        <w:t>&gt;</w:t>
      </w:r>
      <w:r>
        <w:rPr>
          <w:rFonts w:ascii="Times New Roman" w:eastAsia="宋体" w:hAnsi="Times New Roman"/>
          <w:szCs w:val="21"/>
        </w:rPr>
        <w:t>小分子量腐植酸；</w:t>
      </w:r>
      <w:r>
        <w:rPr>
          <w:rFonts w:ascii="Times New Roman" w:eastAsia="宋体" w:hAnsi="Times New Roman"/>
          <w:szCs w:val="24"/>
        </w:rPr>
        <w:t>对于羧基含量，小分子量腐植酸的含量最高；对于芳香度和疏水性指数，大分子量</w:t>
      </w:r>
      <w:r>
        <w:rPr>
          <w:rFonts w:ascii="Times New Roman" w:eastAsia="宋体" w:hAnsi="Times New Roman"/>
          <w:szCs w:val="24"/>
        </w:rPr>
        <w:t>&gt;</w:t>
      </w:r>
      <w:r>
        <w:rPr>
          <w:rFonts w:ascii="Times New Roman" w:eastAsia="宋体" w:hAnsi="Times New Roman"/>
          <w:szCs w:val="24"/>
        </w:rPr>
        <w:t>中分子量</w:t>
      </w:r>
      <w:r>
        <w:rPr>
          <w:rFonts w:ascii="Times New Roman" w:eastAsia="宋体" w:hAnsi="Times New Roman"/>
          <w:szCs w:val="24"/>
        </w:rPr>
        <w:t>&gt;</w:t>
      </w:r>
      <w:r>
        <w:rPr>
          <w:rFonts w:ascii="Times New Roman" w:eastAsia="宋体" w:hAnsi="Times New Roman"/>
          <w:szCs w:val="24"/>
        </w:rPr>
        <w:t>小分子量；对于脂化度，小分子量腐植酸</w:t>
      </w:r>
      <w:r>
        <w:rPr>
          <w:rFonts w:ascii="Times New Roman" w:eastAsia="宋体" w:hAnsi="Times New Roman"/>
          <w:szCs w:val="24"/>
        </w:rPr>
        <w:t>&gt;</w:t>
      </w:r>
      <w:r>
        <w:rPr>
          <w:rFonts w:ascii="Times New Roman" w:eastAsia="宋体" w:hAnsi="Times New Roman"/>
          <w:szCs w:val="24"/>
        </w:rPr>
        <w:t>中分子量腐植酸</w:t>
      </w:r>
      <w:r>
        <w:rPr>
          <w:rFonts w:ascii="Times New Roman" w:eastAsia="宋体" w:hAnsi="Times New Roman"/>
          <w:szCs w:val="24"/>
        </w:rPr>
        <w:t>&gt;</w:t>
      </w:r>
      <w:r>
        <w:rPr>
          <w:rFonts w:ascii="Times New Roman" w:eastAsia="宋体" w:hAnsi="Times New Roman"/>
          <w:szCs w:val="24"/>
        </w:rPr>
        <w:t>小分子量腐植酸。在各处理中，</w:t>
      </w:r>
      <w:r>
        <w:rPr>
          <w:rFonts w:ascii="Times New Roman" w:eastAsia="宋体" w:hAnsi="Times New Roman"/>
          <w:szCs w:val="24"/>
        </w:rPr>
        <w:t>OHA3</w:t>
      </w:r>
      <w:r>
        <w:rPr>
          <w:rFonts w:ascii="Times New Roman" w:eastAsia="宋体" w:hAnsi="Times New Roman"/>
          <w:szCs w:val="24"/>
          <w:vertAlign w:val="subscript"/>
        </w:rPr>
        <w:t>H</w:t>
      </w:r>
      <w:r>
        <w:rPr>
          <w:rFonts w:ascii="Times New Roman" w:eastAsia="宋体" w:hAnsi="Times New Roman"/>
          <w:szCs w:val="24"/>
        </w:rPr>
        <w:t>的芳香度最大，</w:t>
      </w:r>
      <w:r>
        <w:rPr>
          <w:rFonts w:ascii="Times New Roman" w:eastAsia="宋体" w:hAnsi="Times New Roman"/>
          <w:szCs w:val="24"/>
        </w:rPr>
        <w:t>HA</w:t>
      </w:r>
      <w:r>
        <w:rPr>
          <w:rFonts w:ascii="Times New Roman" w:eastAsia="宋体" w:hAnsi="Times New Roman"/>
          <w:szCs w:val="24"/>
          <w:vertAlign w:val="subscript"/>
        </w:rPr>
        <w:t>H</w:t>
      </w:r>
      <w:r>
        <w:rPr>
          <w:rFonts w:ascii="Times New Roman" w:eastAsia="宋体" w:hAnsi="Times New Roman"/>
          <w:szCs w:val="24"/>
        </w:rPr>
        <w:t>的疏水性指数最大。</w:t>
      </w:r>
    </w:p>
    <w:p w14:paraId="514B1AC6" w14:textId="77777777" w:rsidR="005577A2" w:rsidRDefault="005577A2" w:rsidP="005577A2">
      <w:pPr>
        <w:adjustRightInd w:val="0"/>
        <w:snapToGrid w:val="0"/>
        <w:spacing w:line="300" w:lineRule="auto"/>
        <w:ind w:firstLine="420"/>
        <w:jc w:val="center"/>
        <w:rPr>
          <w:rFonts w:ascii="Times New Roman" w:eastAsia="宋体"/>
        </w:rPr>
      </w:pPr>
      <w:r>
        <w:rPr>
          <w:rFonts w:ascii="Times New Roman" w:eastAsia="宋体" w:hint="eastAsia"/>
        </w:rPr>
        <w:t xml:space="preserve"> </w:t>
      </w:r>
      <w:r>
        <w:rPr>
          <w:rFonts w:ascii="Times New Roman" w:eastAsia="宋体" w:hint="eastAsia"/>
        </w:rPr>
        <w:t>表</w:t>
      </w:r>
      <w:r>
        <w:rPr>
          <w:rFonts w:ascii="Times New Roman" w:eastAsia="宋体" w:hint="eastAsia"/>
        </w:rPr>
        <w:t xml:space="preserve">3  </w:t>
      </w:r>
      <w:r>
        <w:rPr>
          <w:rFonts w:ascii="Times New Roman" w:eastAsia="宋体" w:hint="eastAsia"/>
        </w:rPr>
        <w:t>不同分子量腐植酸</w:t>
      </w:r>
      <w:r>
        <w:rPr>
          <w:rFonts w:ascii="Times New Roman" w:eastAsia="宋体" w:hint="eastAsia"/>
        </w:rPr>
        <w:t>13C-CP / MAS-NMR</w:t>
      </w:r>
      <w:r>
        <w:rPr>
          <w:rFonts w:ascii="Times New Roman" w:eastAsia="宋体" w:hint="eastAsia"/>
        </w:rPr>
        <w:t>光谱中碳类型的相对分布</w:t>
      </w:r>
    </w:p>
    <w:tbl>
      <w:tblPr>
        <w:tblW w:w="5887" w:type="pct"/>
        <w:jc w:val="center"/>
        <w:tblLayout w:type="fixed"/>
        <w:tblLook w:val="04A0" w:firstRow="1" w:lastRow="0" w:firstColumn="1" w:lastColumn="0" w:noHBand="0" w:noVBand="1"/>
      </w:tblPr>
      <w:tblGrid>
        <w:gridCol w:w="870"/>
        <w:gridCol w:w="823"/>
        <w:gridCol w:w="959"/>
        <w:gridCol w:w="859"/>
        <w:gridCol w:w="957"/>
        <w:gridCol w:w="929"/>
        <w:gridCol w:w="887"/>
        <w:gridCol w:w="863"/>
        <w:gridCol w:w="728"/>
        <w:gridCol w:w="728"/>
        <w:gridCol w:w="690"/>
        <w:gridCol w:w="741"/>
      </w:tblGrid>
      <w:tr w:rsidR="005577A2" w:rsidRPr="00D006EB" w14:paraId="25AAA53B" w14:textId="77777777" w:rsidTr="00E616C0">
        <w:trPr>
          <w:trHeight w:val="290"/>
          <w:jc w:val="center"/>
        </w:trPr>
        <w:tc>
          <w:tcPr>
            <w:tcW w:w="433" w:type="pct"/>
            <w:tcBorders>
              <w:top w:val="single" w:sz="12" w:space="0" w:color="auto"/>
              <w:left w:val="nil"/>
              <w:bottom w:val="nil"/>
              <w:right w:val="nil"/>
            </w:tcBorders>
            <w:shd w:val="clear" w:color="auto" w:fill="auto"/>
            <w:noWrap/>
            <w:vAlign w:val="center"/>
          </w:tcPr>
          <w:p w14:paraId="494EEE07"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处理</w:t>
            </w:r>
          </w:p>
        </w:tc>
        <w:tc>
          <w:tcPr>
            <w:tcW w:w="410" w:type="pct"/>
            <w:tcBorders>
              <w:top w:val="single" w:sz="12" w:space="0" w:color="auto"/>
              <w:left w:val="nil"/>
              <w:bottom w:val="nil"/>
              <w:right w:val="nil"/>
            </w:tcBorders>
            <w:shd w:val="clear" w:color="auto" w:fill="auto"/>
            <w:noWrap/>
            <w:vAlign w:val="center"/>
          </w:tcPr>
          <w:p w14:paraId="740E630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烷基碳</w:t>
            </w:r>
          </w:p>
        </w:tc>
        <w:tc>
          <w:tcPr>
            <w:tcW w:w="478" w:type="pct"/>
            <w:tcBorders>
              <w:top w:val="single" w:sz="12" w:space="0" w:color="auto"/>
              <w:left w:val="nil"/>
              <w:bottom w:val="nil"/>
              <w:right w:val="nil"/>
            </w:tcBorders>
            <w:shd w:val="clear" w:color="auto" w:fill="auto"/>
            <w:noWrap/>
            <w:vAlign w:val="center"/>
          </w:tcPr>
          <w:p w14:paraId="66FAC1C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甲氧基和</w:t>
            </w:r>
            <w:r w:rsidRPr="00D006EB">
              <w:rPr>
                <w:rFonts w:ascii="Times New Roman" w:eastAsia="宋体" w:hAnsi="Times New Roman"/>
                <w:kern w:val="0"/>
                <w:sz w:val="15"/>
                <w:szCs w:val="15"/>
              </w:rPr>
              <w:t>N-</w:t>
            </w:r>
            <w:r w:rsidRPr="00D006EB">
              <w:rPr>
                <w:rFonts w:ascii="Times New Roman" w:eastAsia="宋体" w:hAnsi="Times New Roman"/>
                <w:kern w:val="0"/>
                <w:sz w:val="15"/>
                <w:szCs w:val="15"/>
              </w:rPr>
              <w:t>烷基</w:t>
            </w:r>
            <w:r w:rsidRPr="00D006EB">
              <w:rPr>
                <w:rFonts w:ascii="Times New Roman" w:eastAsia="宋体" w:hAnsi="Times New Roman"/>
                <w:kern w:val="0"/>
                <w:sz w:val="15"/>
                <w:szCs w:val="15"/>
              </w:rPr>
              <w:t>C</w:t>
            </w:r>
          </w:p>
        </w:tc>
        <w:tc>
          <w:tcPr>
            <w:tcW w:w="428" w:type="pct"/>
            <w:tcBorders>
              <w:top w:val="single" w:sz="12" w:space="0" w:color="auto"/>
              <w:left w:val="nil"/>
              <w:bottom w:val="nil"/>
              <w:right w:val="nil"/>
            </w:tcBorders>
            <w:shd w:val="clear" w:color="auto" w:fill="auto"/>
            <w:noWrap/>
            <w:vAlign w:val="center"/>
          </w:tcPr>
          <w:p w14:paraId="3CE8402A"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O-</w:t>
            </w:r>
            <w:r w:rsidRPr="00D006EB">
              <w:rPr>
                <w:rFonts w:ascii="Times New Roman" w:eastAsia="宋体" w:hAnsi="Times New Roman"/>
                <w:kern w:val="0"/>
                <w:sz w:val="15"/>
                <w:szCs w:val="15"/>
              </w:rPr>
              <w:t>烷基</w:t>
            </w:r>
            <w:r w:rsidRPr="00D006EB">
              <w:rPr>
                <w:rFonts w:ascii="Times New Roman" w:eastAsia="宋体" w:hAnsi="Times New Roman"/>
                <w:kern w:val="0"/>
                <w:sz w:val="15"/>
                <w:szCs w:val="15"/>
              </w:rPr>
              <w:t>C</w:t>
            </w:r>
          </w:p>
        </w:tc>
        <w:tc>
          <w:tcPr>
            <w:tcW w:w="477" w:type="pct"/>
            <w:tcBorders>
              <w:top w:val="single" w:sz="12" w:space="0" w:color="auto"/>
              <w:left w:val="nil"/>
              <w:bottom w:val="nil"/>
              <w:right w:val="nil"/>
            </w:tcBorders>
            <w:shd w:val="clear" w:color="auto" w:fill="auto"/>
            <w:noWrap/>
            <w:vAlign w:val="center"/>
          </w:tcPr>
          <w:p w14:paraId="34F25B6F"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二</w:t>
            </w:r>
            <w:r w:rsidRPr="00D006EB">
              <w:rPr>
                <w:rFonts w:ascii="Times New Roman" w:eastAsia="宋体" w:hAnsi="Times New Roman"/>
                <w:kern w:val="0"/>
                <w:sz w:val="15"/>
                <w:szCs w:val="15"/>
              </w:rPr>
              <w:t>-O-</w:t>
            </w:r>
            <w:r w:rsidRPr="00D006EB">
              <w:rPr>
                <w:rFonts w:ascii="Times New Roman" w:eastAsia="宋体" w:hAnsi="Times New Roman"/>
                <w:kern w:val="0"/>
                <w:sz w:val="15"/>
                <w:szCs w:val="15"/>
              </w:rPr>
              <w:t>烷基</w:t>
            </w:r>
            <w:r w:rsidRPr="00D006EB">
              <w:rPr>
                <w:rFonts w:ascii="Times New Roman" w:eastAsia="宋体" w:hAnsi="Times New Roman"/>
                <w:kern w:val="0"/>
                <w:sz w:val="15"/>
                <w:szCs w:val="15"/>
              </w:rPr>
              <w:t>C</w:t>
            </w:r>
            <w:r w:rsidRPr="00D006EB">
              <w:rPr>
                <w:rFonts w:ascii="Times New Roman" w:eastAsia="宋体" w:hAnsi="Times New Roman"/>
                <w:kern w:val="0"/>
                <w:sz w:val="15"/>
                <w:szCs w:val="15"/>
              </w:rPr>
              <w:t>（异头）</w:t>
            </w:r>
          </w:p>
        </w:tc>
        <w:tc>
          <w:tcPr>
            <w:tcW w:w="463" w:type="pct"/>
            <w:tcBorders>
              <w:top w:val="single" w:sz="12" w:space="0" w:color="auto"/>
              <w:left w:val="nil"/>
              <w:bottom w:val="nil"/>
              <w:right w:val="nil"/>
            </w:tcBorders>
            <w:shd w:val="clear" w:color="auto" w:fill="auto"/>
            <w:noWrap/>
            <w:vAlign w:val="center"/>
          </w:tcPr>
          <w:p w14:paraId="50AA727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芳香</w:t>
            </w:r>
            <w:r w:rsidRPr="00D006EB">
              <w:rPr>
                <w:rFonts w:ascii="Times New Roman" w:eastAsia="宋体" w:hAnsi="Times New Roman"/>
                <w:kern w:val="0"/>
                <w:sz w:val="15"/>
                <w:szCs w:val="15"/>
              </w:rPr>
              <w:t>C</w:t>
            </w:r>
          </w:p>
        </w:tc>
        <w:tc>
          <w:tcPr>
            <w:tcW w:w="442" w:type="pct"/>
            <w:tcBorders>
              <w:top w:val="single" w:sz="12" w:space="0" w:color="auto"/>
              <w:left w:val="nil"/>
              <w:bottom w:val="nil"/>
              <w:right w:val="nil"/>
            </w:tcBorders>
            <w:shd w:val="clear" w:color="auto" w:fill="auto"/>
            <w:noWrap/>
            <w:vAlign w:val="center"/>
          </w:tcPr>
          <w:p w14:paraId="35F5069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O-</w:t>
            </w:r>
            <w:r w:rsidRPr="00D006EB">
              <w:rPr>
                <w:rFonts w:ascii="Times New Roman" w:eastAsia="宋体" w:hAnsi="Times New Roman"/>
                <w:kern w:val="0"/>
                <w:sz w:val="15"/>
                <w:szCs w:val="15"/>
              </w:rPr>
              <w:t>芳香</w:t>
            </w:r>
            <w:r w:rsidRPr="00D006EB">
              <w:rPr>
                <w:rFonts w:ascii="Times New Roman" w:eastAsia="宋体" w:hAnsi="Times New Roman"/>
                <w:kern w:val="0"/>
                <w:sz w:val="15"/>
                <w:szCs w:val="15"/>
              </w:rPr>
              <w:t>C</w:t>
            </w:r>
          </w:p>
        </w:tc>
        <w:tc>
          <w:tcPr>
            <w:tcW w:w="430" w:type="pct"/>
            <w:tcBorders>
              <w:top w:val="single" w:sz="12" w:space="0" w:color="auto"/>
              <w:left w:val="nil"/>
              <w:bottom w:val="nil"/>
              <w:right w:val="nil"/>
            </w:tcBorders>
            <w:shd w:val="clear" w:color="auto" w:fill="auto"/>
            <w:noWrap/>
            <w:vAlign w:val="center"/>
          </w:tcPr>
          <w:p w14:paraId="140B52EF"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羧基</w:t>
            </w:r>
            <w:r w:rsidRPr="00D006EB">
              <w:rPr>
                <w:rFonts w:ascii="Times New Roman" w:eastAsia="宋体" w:hAnsi="Times New Roman"/>
                <w:kern w:val="0"/>
                <w:sz w:val="15"/>
                <w:szCs w:val="15"/>
              </w:rPr>
              <w:t>C</w:t>
            </w:r>
          </w:p>
        </w:tc>
        <w:tc>
          <w:tcPr>
            <w:tcW w:w="363" w:type="pct"/>
            <w:tcBorders>
              <w:top w:val="single" w:sz="12" w:space="0" w:color="auto"/>
              <w:left w:val="nil"/>
              <w:bottom w:val="nil"/>
              <w:right w:val="nil"/>
            </w:tcBorders>
            <w:shd w:val="clear" w:color="auto" w:fill="auto"/>
            <w:noWrap/>
            <w:vAlign w:val="center"/>
          </w:tcPr>
          <w:p w14:paraId="1179608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羰基</w:t>
            </w:r>
            <w:r w:rsidRPr="00D006EB">
              <w:rPr>
                <w:rFonts w:ascii="Times New Roman" w:eastAsia="宋体" w:hAnsi="Times New Roman"/>
                <w:kern w:val="0"/>
                <w:sz w:val="15"/>
                <w:szCs w:val="15"/>
              </w:rPr>
              <w:t>C</w:t>
            </w:r>
          </w:p>
        </w:tc>
        <w:tc>
          <w:tcPr>
            <w:tcW w:w="363" w:type="pct"/>
            <w:tcBorders>
              <w:top w:val="single" w:sz="12" w:space="0" w:color="auto"/>
              <w:left w:val="nil"/>
              <w:bottom w:val="nil"/>
              <w:right w:val="nil"/>
            </w:tcBorders>
            <w:shd w:val="clear" w:color="auto" w:fill="auto"/>
            <w:noWrap/>
            <w:vAlign w:val="center"/>
          </w:tcPr>
          <w:p w14:paraId="78783237"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芳香度</w:t>
            </w:r>
          </w:p>
        </w:tc>
        <w:tc>
          <w:tcPr>
            <w:tcW w:w="344" w:type="pct"/>
            <w:tcBorders>
              <w:top w:val="single" w:sz="12" w:space="0" w:color="auto"/>
              <w:left w:val="nil"/>
              <w:bottom w:val="nil"/>
              <w:right w:val="nil"/>
            </w:tcBorders>
            <w:shd w:val="clear" w:color="auto" w:fill="auto"/>
            <w:noWrap/>
            <w:vAlign w:val="center"/>
          </w:tcPr>
          <w:p w14:paraId="362B63C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脂化度</w:t>
            </w:r>
          </w:p>
        </w:tc>
        <w:tc>
          <w:tcPr>
            <w:tcW w:w="370" w:type="pct"/>
            <w:tcBorders>
              <w:top w:val="single" w:sz="12" w:space="0" w:color="auto"/>
              <w:left w:val="nil"/>
              <w:bottom w:val="nil"/>
              <w:right w:val="nil"/>
            </w:tcBorders>
            <w:shd w:val="clear" w:color="auto" w:fill="auto"/>
            <w:noWrap/>
            <w:vAlign w:val="center"/>
          </w:tcPr>
          <w:p w14:paraId="399F0C6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疏水性指数</w:t>
            </w:r>
          </w:p>
        </w:tc>
      </w:tr>
      <w:tr w:rsidR="005577A2" w:rsidRPr="00D006EB" w14:paraId="374697BD" w14:textId="77777777" w:rsidTr="00E616C0">
        <w:trPr>
          <w:trHeight w:val="290"/>
          <w:jc w:val="center"/>
        </w:trPr>
        <w:tc>
          <w:tcPr>
            <w:tcW w:w="433" w:type="pct"/>
            <w:tcBorders>
              <w:top w:val="nil"/>
              <w:left w:val="nil"/>
              <w:bottom w:val="single" w:sz="4" w:space="0" w:color="auto"/>
              <w:right w:val="nil"/>
            </w:tcBorders>
            <w:shd w:val="clear" w:color="auto" w:fill="auto"/>
            <w:noWrap/>
            <w:vAlign w:val="center"/>
          </w:tcPr>
          <w:p w14:paraId="1E91808F"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Treatments</w:t>
            </w:r>
          </w:p>
        </w:tc>
        <w:tc>
          <w:tcPr>
            <w:tcW w:w="410" w:type="pct"/>
            <w:tcBorders>
              <w:top w:val="nil"/>
              <w:left w:val="nil"/>
              <w:bottom w:val="single" w:sz="4" w:space="0" w:color="auto"/>
              <w:right w:val="nil"/>
            </w:tcBorders>
            <w:shd w:val="clear" w:color="auto" w:fill="auto"/>
            <w:noWrap/>
            <w:vAlign w:val="center"/>
          </w:tcPr>
          <w:p w14:paraId="4EFDA34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proofErr w:type="spellStart"/>
            <w:r w:rsidRPr="00D006EB">
              <w:rPr>
                <w:rFonts w:ascii="Times New Roman" w:eastAsia="宋体" w:hAnsi="Times New Roman"/>
                <w:kern w:val="0"/>
                <w:sz w:val="15"/>
                <w:szCs w:val="15"/>
              </w:rPr>
              <w:t>CAlk</w:t>
            </w:r>
            <w:proofErr w:type="spellEnd"/>
            <w:r w:rsidRPr="00D006EB">
              <w:rPr>
                <w:rFonts w:ascii="Times New Roman" w:eastAsia="宋体" w:hAnsi="Times New Roman"/>
                <w:kern w:val="0"/>
                <w:sz w:val="15"/>
                <w:szCs w:val="15"/>
              </w:rPr>
              <w:t>-H,R</w:t>
            </w:r>
          </w:p>
        </w:tc>
        <w:tc>
          <w:tcPr>
            <w:tcW w:w="478" w:type="pct"/>
            <w:tcBorders>
              <w:top w:val="nil"/>
              <w:left w:val="nil"/>
              <w:bottom w:val="single" w:sz="4" w:space="0" w:color="auto"/>
              <w:right w:val="nil"/>
            </w:tcBorders>
            <w:shd w:val="clear" w:color="auto" w:fill="auto"/>
            <w:noWrap/>
            <w:vAlign w:val="center"/>
          </w:tcPr>
          <w:p w14:paraId="736E810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proofErr w:type="spellStart"/>
            <w:r w:rsidRPr="00D006EB">
              <w:rPr>
                <w:rFonts w:ascii="Times New Roman" w:eastAsia="宋体" w:hAnsi="Times New Roman"/>
                <w:kern w:val="0"/>
                <w:sz w:val="15"/>
                <w:szCs w:val="15"/>
              </w:rPr>
              <w:t>CAlk</w:t>
            </w:r>
            <w:proofErr w:type="spellEnd"/>
            <w:r w:rsidRPr="00D006EB">
              <w:rPr>
                <w:rFonts w:ascii="Times New Roman" w:eastAsia="宋体" w:hAnsi="Times New Roman"/>
                <w:kern w:val="0"/>
                <w:sz w:val="15"/>
                <w:szCs w:val="15"/>
              </w:rPr>
              <w:t>-O,N</w:t>
            </w:r>
          </w:p>
        </w:tc>
        <w:tc>
          <w:tcPr>
            <w:tcW w:w="428" w:type="pct"/>
            <w:tcBorders>
              <w:top w:val="nil"/>
              <w:left w:val="nil"/>
              <w:bottom w:val="single" w:sz="4" w:space="0" w:color="auto"/>
              <w:right w:val="nil"/>
            </w:tcBorders>
            <w:shd w:val="clear" w:color="auto" w:fill="auto"/>
            <w:noWrap/>
            <w:vAlign w:val="center"/>
          </w:tcPr>
          <w:p w14:paraId="71591BB8"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proofErr w:type="spellStart"/>
            <w:r w:rsidRPr="00D006EB">
              <w:rPr>
                <w:rFonts w:ascii="Times New Roman" w:eastAsia="宋体" w:hAnsi="Times New Roman"/>
                <w:kern w:val="0"/>
                <w:sz w:val="15"/>
                <w:szCs w:val="15"/>
              </w:rPr>
              <w:t>CAlk</w:t>
            </w:r>
            <w:proofErr w:type="spellEnd"/>
            <w:r w:rsidRPr="00D006EB">
              <w:rPr>
                <w:rFonts w:ascii="Times New Roman" w:eastAsia="宋体" w:hAnsi="Times New Roman"/>
                <w:kern w:val="0"/>
                <w:sz w:val="15"/>
                <w:szCs w:val="15"/>
              </w:rPr>
              <w:t>-O</w:t>
            </w:r>
          </w:p>
        </w:tc>
        <w:tc>
          <w:tcPr>
            <w:tcW w:w="477" w:type="pct"/>
            <w:tcBorders>
              <w:top w:val="nil"/>
              <w:left w:val="nil"/>
              <w:bottom w:val="single" w:sz="4" w:space="0" w:color="auto"/>
              <w:right w:val="nil"/>
            </w:tcBorders>
            <w:shd w:val="clear" w:color="auto" w:fill="auto"/>
            <w:noWrap/>
            <w:vAlign w:val="center"/>
          </w:tcPr>
          <w:p w14:paraId="02895FF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proofErr w:type="spellStart"/>
            <w:r w:rsidRPr="00D006EB">
              <w:rPr>
                <w:rFonts w:ascii="Times New Roman" w:eastAsia="宋体" w:hAnsi="Times New Roman"/>
                <w:kern w:val="0"/>
                <w:sz w:val="15"/>
                <w:szCs w:val="15"/>
              </w:rPr>
              <w:t>CAlk</w:t>
            </w:r>
            <w:proofErr w:type="spellEnd"/>
            <w:r w:rsidRPr="00D006EB">
              <w:rPr>
                <w:rFonts w:ascii="Times New Roman" w:eastAsia="宋体" w:hAnsi="Times New Roman"/>
                <w:kern w:val="0"/>
                <w:sz w:val="15"/>
                <w:szCs w:val="15"/>
              </w:rPr>
              <w:t>-di-O</w:t>
            </w:r>
          </w:p>
        </w:tc>
        <w:tc>
          <w:tcPr>
            <w:tcW w:w="463" w:type="pct"/>
            <w:tcBorders>
              <w:top w:val="nil"/>
              <w:left w:val="nil"/>
              <w:bottom w:val="single" w:sz="4" w:space="0" w:color="auto"/>
              <w:right w:val="nil"/>
            </w:tcBorders>
            <w:shd w:val="clear" w:color="auto" w:fill="auto"/>
            <w:noWrap/>
            <w:vAlign w:val="center"/>
          </w:tcPr>
          <w:p w14:paraId="6B32BBBA"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proofErr w:type="spellStart"/>
            <w:r w:rsidRPr="00D006EB">
              <w:rPr>
                <w:rFonts w:ascii="Times New Roman" w:eastAsia="宋体" w:hAnsi="Times New Roman"/>
                <w:kern w:val="0"/>
                <w:sz w:val="15"/>
                <w:szCs w:val="15"/>
              </w:rPr>
              <w:t>CAr</w:t>
            </w:r>
            <w:proofErr w:type="spellEnd"/>
            <w:r w:rsidRPr="00D006EB">
              <w:rPr>
                <w:rFonts w:ascii="Times New Roman" w:eastAsia="宋体" w:hAnsi="Times New Roman"/>
                <w:kern w:val="0"/>
                <w:sz w:val="15"/>
                <w:szCs w:val="15"/>
              </w:rPr>
              <w:t>-H,R</w:t>
            </w:r>
          </w:p>
        </w:tc>
        <w:tc>
          <w:tcPr>
            <w:tcW w:w="442" w:type="pct"/>
            <w:tcBorders>
              <w:top w:val="nil"/>
              <w:left w:val="nil"/>
              <w:bottom w:val="single" w:sz="4" w:space="0" w:color="auto"/>
              <w:right w:val="nil"/>
            </w:tcBorders>
            <w:shd w:val="clear" w:color="auto" w:fill="auto"/>
            <w:noWrap/>
            <w:vAlign w:val="center"/>
          </w:tcPr>
          <w:p w14:paraId="1458AF3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proofErr w:type="spellStart"/>
            <w:r w:rsidRPr="00D006EB">
              <w:rPr>
                <w:rFonts w:ascii="Times New Roman" w:eastAsia="宋体" w:hAnsi="Times New Roman"/>
                <w:kern w:val="0"/>
                <w:sz w:val="15"/>
                <w:szCs w:val="15"/>
              </w:rPr>
              <w:t>CAr</w:t>
            </w:r>
            <w:proofErr w:type="spellEnd"/>
            <w:r w:rsidRPr="00D006EB">
              <w:rPr>
                <w:rFonts w:ascii="Times New Roman" w:eastAsia="宋体" w:hAnsi="Times New Roman"/>
                <w:kern w:val="0"/>
                <w:sz w:val="15"/>
                <w:szCs w:val="15"/>
              </w:rPr>
              <w:t>-O,N</w:t>
            </w:r>
          </w:p>
        </w:tc>
        <w:tc>
          <w:tcPr>
            <w:tcW w:w="430" w:type="pct"/>
            <w:tcBorders>
              <w:top w:val="nil"/>
              <w:left w:val="nil"/>
              <w:bottom w:val="single" w:sz="4" w:space="0" w:color="auto"/>
              <w:right w:val="nil"/>
            </w:tcBorders>
            <w:shd w:val="clear" w:color="auto" w:fill="auto"/>
            <w:noWrap/>
            <w:vAlign w:val="center"/>
          </w:tcPr>
          <w:p w14:paraId="2947412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COO-H,R</w:t>
            </w:r>
          </w:p>
        </w:tc>
        <w:tc>
          <w:tcPr>
            <w:tcW w:w="363" w:type="pct"/>
            <w:tcBorders>
              <w:top w:val="nil"/>
              <w:left w:val="nil"/>
              <w:bottom w:val="single" w:sz="4" w:space="0" w:color="auto"/>
              <w:right w:val="nil"/>
            </w:tcBorders>
            <w:shd w:val="clear" w:color="auto" w:fill="auto"/>
            <w:noWrap/>
            <w:vAlign w:val="center"/>
          </w:tcPr>
          <w:p w14:paraId="2D9A488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C=O</w:t>
            </w:r>
          </w:p>
        </w:tc>
        <w:tc>
          <w:tcPr>
            <w:tcW w:w="363" w:type="pct"/>
            <w:tcBorders>
              <w:top w:val="nil"/>
              <w:left w:val="nil"/>
              <w:bottom w:val="single" w:sz="4" w:space="0" w:color="auto"/>
              <w:right w:val="nil"/>
            </w:tcBorders>
            <w:shd w:val="clear" w:color="auto" w:fill="auto"/>
            <w:noWrap/>
            <w:vAlign w:val="center"/>
          </w:tcPr>
          <w:p w14:paraId="12DD766E"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proofErr w:type="spellStart"/>
            <w:r w:rsidRPr="00D006EB">
              <w:rPr>
                <w:rFonts w:ascii="Times New Roman" w:eastAsia="宋体" w:hAnsi="Times New Roman"/>
                <w:kern w:val="0"/>
                <w:sz w:val="15"/>
                <w:szCs w:val="15"/>
              </w:rPr>
              <w:t>Arom</w:t>
            </w:r>
            <w:proofErr w:type="spellEnd"/>
          </w:p>
        </w:tc>
        <w:tc>
          <w:tcPr>
            <w:tcW w:w="344" w:type="pct"/>
            <w:tcBorders>
              <w:top w:val="nil"/>
              <w:left w:val="nil"/>
              <w:bottom w:val="single" w:sz="4" w:space="0" w:color="auto"/>
              <w:right w:val="nil"/>
            </w:tcBorders>
            <w:shd w:val="clear" w:color="auto" w:fill="auto"/>
            <w:noWrap/>
            <w:vAlign w:val="center"/>
          </w:tcPr>
          <w:p w14:paraId="5515187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proofErr w:type="spellStart"/>
            <w:r w:rsidRPr="00D006EB">
              <w:rPr>
                <w:rFonts w:ascii="Times New Roman" w:eastAsia="宋体" w:hAnsi="Times New Roman"/>
                <w:kern w:val="0"/>
                <w:sz w:val="15"/>
                <w:szCs w:val="15"/>
              </w:rPr>
              <w:t>Alip</w:t>
            </w:r>
            <w:proofErr w:type="spellEnd"/>
          </w:p>
        </w:tc>
        <w:tc>
          <w:tcPr>
            <w:tcW w:w="370" w:type="pct"/>
            <w:tcBorders>
              <w:top w:val="nil"/>
              <w:left w:val="nil"/>
              <w:bottom w:val="single" w:sz="4" w:space="0" w:color="auto"/>
              <w:right w:val="nil"/>
            </w:tcBorders>
            <w:shd w:val="clear" w:color="auto" w:fill="auto"/>
            <w:noWrap/>
            <w:vAlign w:val="center"/>
          </w:tcPr>
          <w:p w14:paraId="2557E05A"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HI</w:t>
            </w:r>
          </w:p>
        </w:tc>
      </w:tr>
      <w:tr w:rsidR="005577A2" w:rsidRPr="00D006EB" w14:paraId="1C9713C8" w14:textId="77777777" w:rsidTr="00E616C0">
        <w:trPr>
          <w:trHeight w:val="280"/>
          <w:jc w:val="center"/>
        </w:trPr>
        <w:tc>
          <w:tcPr>
            <w:tcW w:w="433" w:type="pct"/>
            <w:tcBorders>
              <w:top w:val="single" w:sz="4" w:space="0" w:color="auto"/>
              <w:left w:val="nil"/>
              <w:bottom w:val="nil"/>
              <w:right w:val="nil"/>
            </w:tcBorders>
            <w:shd w:val="clear" w:color="auto" w:fill="auto"/>
            <w:noWrap/>
            <w:vAlign w:val="center"/>
          </w:tcPr>
          <w:p w14:paraId="2A380C9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HA</w:t>
            </w:r>
            <w:r w:rsidRPr="00D006EB">
              <w:rPr>
                <w:rFonts w:ascii="Times New Roman" w:eastAsia="宋体" w:hAnsi="Times New Roman"/>
                <w:kern w:val="0"/>
                <w:sz w:val="15"/>
                <w:szCs w:val="15"/>
                <w:vertAlign w:val="subscript"/>
              </w:rPr>
              <w:t>H</w:t>
            </w:r>
          </w:p>
        </w:tc>
        <w:tc>
          <w:tcPr>
            <w:tcW w:w="410" w:type="pct"/>
            <w:tcBorders>
              <w:top w:val="single" w:sz="4" w:space="0" w:color="auto"/>
              <w:left w:val="nil"/>
              <w:bottom w:val="nil"/>
              <w:right w:val="nil"/>
            </w:tcBorders>
            <w:shd w:val="clear" w:color="auto" w:fill="auto"/>
            <w:noWrap/>
            <w:vAlign w:val="center"/>
          </w:tcPr>
          <w:p w14:paraId="4348026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0.05</w:t>
            </w:r>
          </w:p>
        </w:tc>
        <w:tc>
          <w:tcPr>
            <w:tcW w:w="478" w:type="pct"/>
            <w:tcBorders>
              <w:top w:val="single" w:sz="4" w:space="0" w:color="auto"/>
              <w:left w:val="nil"/>
              <w:bottom w:val="nil"/>
              <w:right w:val="nil"/>
            </w:tcBorders>
            <w:shd w:val="clear" w:color="auto" w:fill="auto"/>
            <w:noWrap/>
            <w:vAlign w:val="center"/>
          </w:tcPr>
          <w:p w14:paraId="3C9010F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0.02</w:t>
            </w:r>
          </w:p>
        </w:tc>
        <w:tc>
          <w:tcPr>
            <w:tcW w:w="428" w:type="pct"/>
            <w:tcBorders>
              <w:top w:val="single" w:sz="4" w:space="0" w:color="auto"/>
              <w:left w:val="nil"/>
              <w:bottom w:val="nil"/>
              <w:right w:val="nil"/>
            </w:tcBorders>
            <w:shd w:val="clear" w:color="auto" w:fill="auto"/>
            <w:noWrap/>
            <w:vAlign w:val="center"/>
          </w:tcPr>
          <w:p w14:paraId="7DE6AEE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0.07</w:t>
            </w:r>
          </w:p>
        </w:tc>
        <w:tc>
          <w:tcPr>
            <w:tcW w:w="477" w:type="pct"/>
            <w:tcBorders>
              <w:top w:val="single" w:sz="4" w:space="0" w:color="auto"/>
              <w:left w:val="nil"/>
              <w:bottom w:val="nil"/>
              <w:right w:val="nil"/>
            </w:tcBorders>
            <w:shd w:val="clear" w:color="auto" w:fill="auto"/>
            <w:noWrap/>
            <w:vAlign w:val="center"/>
          </w:tcPr>
          <w:p w14:paraId="15D0234B"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0.00</w:t>
            </w:r>
          </w:p>
        </w:tc>
        <w:tc>
          <w:tcPr>
            <w:tcW w:w="463" w:type="pct"/>
            <w:tcBorders>
              <w:top w:val="single" w:sz="4" w:space="0" w:color="auto"/>
              <w:left w:val="nil"/>
              <w:bottom w:val="nil"/>
              <w:right w:val="nil"/>
            </w:tcBorders>
            <w:shd w:val="clear" w:color="auto" w:fill="auto"/>
            <w:noWrap/>
            <w:vAlign w:val="center"/>
          </w:tcPr>
          <w:p w14:paraId="6CE6AC37"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0.51</w:t>
            </w:r>
          </w:p>
        </w:tc>
        <w:tc>
          <w:tcPr>
            <w:tcW w:w="442" w:type="pct"/>
            <w:tcBorders>
              <w:top w:val="single" w:sz="4" w:space="0" w:color="auto"/>
              <w:left w:val="nil"/>
              <w:bottom w:val="nil"/>
              <w:right w:val="nil"/>
            </w:tcBorders>
            <w:shd w:val="clear" w:color="auto" w:fill="auto"/>
            <w:noWrap/>
            <w:vAlign w:val="center"/>
          </w:tcPr>
          <w:p w14:paraId="6869AE1E"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0.15</w:t>
            </w:r>
          </w:p>
        </w:tc>
        <w:tc>
          <w:tcPr>
            <w:tcW w:w="430" w:type="pct"/>
            <w:tcBorders>
              <w:top w:val="single" w:sz="4" w:space="0" w:color="auto"/>
              <w:left w:val="nil"/>
              <w:bottom w:val="nil"/>
              <w:right w:val="nil"/>
            </w:tcBorders>
            <w:shd w:val="clear" w:color="auto" w:fill="auto"/>
            <w:noWrap/>
            <w:vAlign w:val="center"/>
          </w:tcPr>
          <w:p w14:paraId="3949A3B8"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0.17</w:t>
            </w:r>
          </w:p>
        </w:tc>
        <w:tc>
          <w:tcPr>
            <w:tcW w:w="363" w:type="pct"/>
            <w:tcBorders>
              <w:top w:val="single" w:sz="4" w:space="0" w:color="auto"/>
              <w:left w:val="nil"/>
              <w:bottom w:val="nil"/>
              <w:right w:val="nil"/>
            </w:tcBorders>
            <w:shd w:val="clear" w:color="auto" w:fill="auto"/>
            <w:noWrap/>
            <w:vAlign w:val="center"/>
          </w:tcPr>
          <w:p w14:paraId="591A961F"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0.02</w:t>
            </w:r>
          </w:p>
        </w:tc>
        <w:tc>
          <w:tcPr>
            <w:tcW w:w="363" w:type="pct"/>
            <w:tcBorders>
              <w:top w:val="single" w:sz="4" w:space="0" w:color="auto"/>
              <w:left w:val="nil"/>
              <w:bottom w:val="nil"/>
              <w:right w:val="nil"/>
            </w:tcBorders>
            <w:shd w:val="clear" w:color="auto" w:fill="auto"/>
            <w:noWrap/>
            <w:vAlign w:val="center"/>
          </w:tcPr>
          <w:p w14:paraId="6BFDF9A7"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0.66</w:t>
            </w:r>
          </w:p>
        </w:tc>
        <w:tc>
          <w:tcPr>
            <w:tcW w:w="344" w:type="pct"/>
            <w:tcBorders>
              <w:top w:val="single" w:sz="4" w:space="0" w:color="auto"/>
              <w:left w:val="nil"/>
              <w:bottom w:val="nil"/>
              <w:right w:val="nil"/>
            </w:tcBorders>
            <w:shd w:val="clear" w:color="auto" w:fill="auto"/>
            <w:noWrap/>
            <w:vAlign w:val="center"/>
          </w:tcPr>
          <w:p w14:paraId="095F6612"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0.34</w:t>
            </w:r>
          </w:p>
        </w:tc>
        <w:tc>
          <w:tcPr>
            <w:tcW w:w="370" w:type="pct"/>
            <w:tcBorders>
              <w:top w:val="single" w:sz="4" w:space="0" w:color="auto"/>
              <w:left w:val="nil"/>
              <w:bottom w:val="nil"/>
              <w:right w:val="nil"/>
            </w:tcBorders>
            <w:shd w:val="clear" w:color="auto" w:fill="auto"/>
            <w:noWrap/>
            <w:vAlign w:val="center"/>
          </w:tcPr>
          <w:p w14:paraId="2BDB7152"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2.70</w:t>
            </w:r>
          </w:p>
        </w:tc>
      </w:tr>
      <w:tr w:rsidR="005577A2" w:rsidRPr="00D006EB" w14:paraId="0AE24E66" w14:textId="77777777" w:rsidTr="00E616C0">
        <w:trPr>
          <w:trHeight w:val="280"/>
          <w:jc w:val="center"/>
        </w:trPr>
        <w:tc>
          <w:tcPr>
            <w:tcW w:w="433" w:type="pct"/>
            <w:tcBorders>
              <w:top w:val="nil"/>
              <w:left w:val="nil"/>
              <w:bottom w:val="nil"/>
              <w:right w:val="nil"/>
            </w:tcBorders>
            <w:shd w:val="clear" w:color="auto" w:fill="auto"/>
            <w:noWrap/>
            <w:vAlign w:val="center"/>
          </w:tcPr>
          <w:p w14:paraId="6ADEB3F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HA</w:t>
            </w:r>
            <w:r w:rsidRPr="00D006EB">
              <w:rPr>
                <w:rFonts w:ascii="Times New Roman" w:eastAsia="宋体" w:hAnsi="Times New Roman"/>
                <w:kern w:val="0"/>
                <w:sz w:val="15"/>
                <w:szCs w:val="15"/>
                <w:vertAlign w:val="subscript"/>
              </w:rPr>
              <w:t>M</w:t>
            </w:r>
          </w:p>
        </w:tc>
        <w:tc>
          <w:tcPr>
            <w:tcW w:w="410" w:type="pct"/>
            <w:tcBorders>
              <w:top w:val="nil"/>
              <w:left w:val="nil"/>
              <w:bottom w:val="nil"/>
              <w:right w:val="nil"/>
            </w:tcBorders>
            <w:shd w:val="clear" w:color="auto" w:fill="auto"/>
            <w:noWrap/>
            <w:vAlign w:val="center"/>
          </w:tcPr>
          <w:p w14:paraId="7CAA586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0.02</w:t>
            </w:r>
          </w:p>
        </w:tc>
        <w:tc>
          <w:tcPr>
            <w:tcW w:w="478" w:type="pct"/>
            <w:tcBorders>
              <w:top w:val="nil"/>
              <w:left w:val="nil"/>
              <w:bottom w:val="nil"/>
              <w:right w:val="nil"/>
            </w:tcBorders>
            <w:shd w:val="clear" w:color="auto" w:fill="auto"/>
            <w:noWrap/>
            <w:vAlign w:val="center"/>
          </w:tcPr>
          <w:p w14:paraId="2E0D58AE"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0.02</w:t>
            </w:r>
          </w:p>
        </w:tc>
        <w:tc>
          <w:tcPr>
            <w:tcW w:w="428" w:type="pct"/>
            <w:tcBorders>
              <w:top w:val="nil"/>
              <w:left w:val="nil"/>
              <w:bottom w:val="nil"/>
              <w:right w:val="nil"/>
            </w:tcBorders>
            <w:shd w:val="clear" w:color="auto" w:fill="auto"/>
            <w:noWrap/>
            <w:vAlign w:val="center"/>
          </w:tcPr>
          <w:p w14:paraId="510FE426"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0.07</w:t>
            </w:r>
          </w:p>
        </w:tc>
        <w:tc>
          <w:tcPr>
            <w:tcW w:w="477" w:type="pct"/>
            <w:tcBorders>
              <w:top w:val="nil"/>
              <w:left w:val="nil"/>
              <w:bottom w:val="nil"/>
              <w:right w:val="nil"/>
            </w:tcBorders>
            <w:shd w:val="clear" w:color="auto" w:fill="auto"/>
            <w:noWrap/>
            <w:vAlign w:val="center"/>
          </w:tcPr>
          <w:p w14:paraId="69B076F2"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0.00</w:t>
            </w:r>
          </w:p>
        </w:tc>
        <w:tc>
          <w:tcPr>
            <w:tcW w:w="463" w:type="pct"/>
            <w:tcBorders>
              <w:top w:val="nil"/>
              <w:left w:val="nil"/>
              <w:bottom w:val="nil"/>
              <w:right w:val="nil"/>
            </w:tcBorders>
            <w:shd w:val="clear" w:color="auto" w:fill="auto"/>
            <w:noWrap/>
            <w:vAlign w:val="center"/>
          </w:tcPr>
          <w:p w14:paraId="31D00665"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0.48</w:t>
            </w:r>
          </w:p>
        </w:tc>
        <w:tc>
          <w:tcPr>
            <w:tcW w:w="442" w:type="pct"/>
            <w:tcBorders>
              <w:top w:val="nil"/>
              <w:left w:val="nil"/>
              <w:bottom w:val="nil"/>
              <w:right w:val="nil"/>
            </w:tcBorders>
            <w:shd w:val="clear" w:color="auto" w:fill="auto"/>
            <w:noWrap/>
            <w:vAlign w:val="center"/>
          </w:tcPr>
          <w:p w14:paraId="14921A6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0.17</w:t>
            </w:r>
          </w:p>
        </w:tc>
        <w:tc>
          <w:tcPr>
            <w:tcW w:w="430" w:type="pct"/>
            <w:tcBorders>
              <w:top w:val="nil"/>
              <w:left w:val="nil"/>
              <w:bottom w:val="nil"/>
              <w:right w:val="nil"/>
            </w:tcBorders>
            <w:shd w:val="clear" w:color="auto" w:fill="auto"/>
            <w:noWrap/>
            <w:vAlign w:val="center"/>
          </w:tcPr>
          <w:p w14:paraId="440C70E2"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0.22</w:t>
            </w:r>
          </w:p>
        </w:tc>
        <w:tc>
          <w:tcPr>
            <w:tcW w:w="363" w:type="pct"/>
            <w:tcBorders>
              <w:top w:val="nil"/>
              <w:left w:val="nil"/>
              <w:bottom w:val="nil"/>
              <w:right w:val="nil"/>
            </w:tcBorders>
            <w:shd w:val="clear" w:color="auto" w:fill="auto"/>
            <w:noWrap/>
            <w:vAlign w:val="center"/>
          </w:tcPr>
          <w:p w14:paraId="2C536B2A"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0.01</w:t>
            </w:r>
          </w:p>
        </w:tc>
        <w:tc>
          <w:tcPr>
            <w:tcW w:w="363" w:type="pct"/>
            <w:tcBorders>
              <w:top w:val="nil"/>
              <w:left w:val="nil"/>
              <w:bottom w:val="nil"/>
              <w:right w:val="nil"/>
            </w:tcBorders>
            <w:shd w:val="clear" w:color="auto" w:fill="auto"/>
            <w:noWrap/>
            <w:vAlign w:val="center"/>
          </w:tcPr>
          <w:p w14:paraId="1742F4AA"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0.65</w:t>
            </w:r>
          </w:p>
        </w:tc>
        <w:tc>
          <w:tcPr>
            <w:tcW w:w="344" w:type="pct"/>
            <w:tcBorders>
              <w:top w:val="nil"/>
              <w:left w:val="nil"/>
              <w:bottom w:val="nil"/>
              <w:right w:val="nil"/>
            </w:tcBorders>
            <w:shd w:val="clear" w:color="auto" w:fill="auto"/>
            <w:noWrap/>
            <w:vAlign w:val="center"/>
          </w:tcPr>
          <w:p w14:paraId="7EB0DF6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0.35</w:t>
            </w:r>
          </w:p>
        </w:tc>
        <w:tc>
          <w:tcPr>
            <w:tcW w:w="370" w:type="pct"/>
            <w:tcBorders>
              <w:top w:val="nil"/>
              <w:left w:val="nil"/>
              <w:bottom w:val="nil"/>
              <w:right w:val="nil"/>
            </w:tcBorders>
            <w:shd w:val="clear" w:color="auto" w:fill="auto"/>
            <w:noWrap/>
            <w:vAlign w:val="center"/>
          </w:tcPr>
          <w:p w14:paraId="62770406"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2.32</w:t>
            </w:r>
          </w:p>
        </w:tc>
      </w:tr>
      <w:tr w:rsidR="005577A2" w:rsidRPr="00D006EB" w14:paraId="258B66E6" w14:textId="77777777" w:rsidTr="00E616C0">
        <w:trPr>
          <w:trHeight w:val="280"/>
          <w:jc w:val="center"/>
        </w:trPr>
        <w:tc>
          <w:tcPr>
            <w:tcW w:w="433" w:type="pct"/>
            <w:tcBorders>
              <w:top w:val="nil"/>
              <w:left w:val="nil"/>
              <w:bottom w:val="nil"/>
              <w:right w:val="nil"/>
            </w:tcBorders>
            <w:shd w:val="clear" w:color="auto" w:fill="auto"/>
            <w:noWrap/>
            <w:vAlign w:val="center"/>
          </w:tcPr>
          <w:p w14:paraId="26E647F8"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HA</w:t>
            </w:r>
            <w:r w:rsidRPr="00D006EB">
              <w:rPr>
                <w:rFonts w:ascii="Times New Roman" w:eastAsia="宋体" w:hAnsi="Times New Roman"/>
                <w:kern w:val="0"/>
                <w:sz w:val="15"/>
                <w:szCs w:val="15"/>
                <w:vertAlign w:val="subscript"/>
              </w:rPr>
              <w:t>L</w:t>
            </w:r>
          </w:p>
        </w:tc>
        <w:tc>
          <w:tcPr>
            <w:tcW w:w="410" w:type="pct"/>
            <w:tcBorders>
              <w:top w:val="nil"/>
              <w:left w:val="nil"/>
              <w:bottom w:val="nil"/>
              <w:right w:val="nil"/>
            </w:tcBorders>
            <w:shd w:val="clear" w:color="auto" w:fill="auto"/>
            <w:noWrap/>
            <w:vAlign w:val="center"/>
          </w:tcPr>
          <w:p w14:paraId="6B63AF5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0.03</w:t>
            </w:r>
          </w:p>
        </w:tc>
        <w:tc>
          <w:tcPr>
            <w:tcW w:w="478" w:type="pct"/>
            <w:tcBorders>
              <w:top w:val="nil"/>
              <w:left w:val="nil"/>
              <w:bottom w:val="nil"/>
              <w:right w:val="nil"/>
            </w:tcBorders>
            <w:shd w:val="clear" w:color="auto" w:fill="auto"/>
            <w:noWrap/>
            <w:vAlign w:val="center"/>
          </w:tcPr>
          <w:p w14:paraId="6A496F12"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0.04</w:t>
            </w:r>
          </w:p>
        </w:tc>
        <w:tc>
          <w:tcPr>
            <w:tcW w:w="428" w:type="pct"/>
            <w:tcBorders>
              <w:top w:val="nil"/>
              <w:left w:val="nil"/>
              <w:bottom w:val="nil"/>
              <w:right w:val="nil"/>
            </w:tcBorders>
            <w:shd w:val="clear" w:color="auto" w:fill="auto"/>
            <w:noWrap/>
            <w:vAlign w:val="center"/>
          </w:tcPr>
          <w:p w14:paraId="1E36EBAB"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0.12</w:t>
            </w:r>
          </w:p>
        </w:tc>
        <w:tc>
          <w:tcPr>
            <w:tcW w:w="477" w:type="pct"/>
            <w:tcBorders>
              <w:top w:val="nil"/>
              <w:left w:val="nil"/>
              <w:bottom w:val="nil"/>
              <w:right w:val="nil"/>
            </w:tcBorders>
            <w:shd w:val="clear" w:color="auto" w:fill="auto"/>
            <w:noWrap/>
            <w:vAlign w:val="center"/>
          </w:tcPr>
          <w:p w14:paraId="3BFBC8B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0.00</w:t>
            </w:r>
          </w:p>
        </w:tc>
        <w:tc>
          <w:tcPr>
            <w:tcW w:w="463" w:type="pct"/>
            <w:tcBorders>
              <w:top w:val="nil"/>
              <w:left w:val="nil"/>
              <w:bottom w:val="nil"/>
              <w:right w:val="nil"/>
            </w:tcBorders>
            <w:shd w:val="clear" w:color="auto" w:fill="auto"/>
            <w:noWrap/>
            <w:vAlign w:val="center"/>
          </w:tcPr>
          <w:p w14:paraId="454F631A"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0.42</w:t>
            </w:r>
          </w:p>
        </w:tc>
        <w:tc>
          <w:tcPr>
            <w:tcW w:w="442" w:type="pct"/>
            <w:tcBorders>
              <w:top w:val="nil"/>
              <w:left w:val="nil"/>
              <w:bottom w:val="nil"/>
              <w:right w:val="nil"/>
            </w:tcBorders>
            <w:shd w:val="clear" w:color="auto" w:fill="auto"/>
            <w:noWrap/>
            <w:vAlign w:val="center"/>
          </w:tcPr>
          <w:p w14:paraId="1199C1C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0.15</w:t>
            </w:r>
          </w:p>
        </w:tc>
        <w:tc>
          <w:tcPr>
            <w:tcW w:w="430" w:type="pct"/>
            <w:tcBorders>
              <w:top w:val="nil"/>
              <w:left w:val="nil"/>
              <w:bottom w:val="nil"/>
              <w:right w:val="nil"/>
            </w:tcBorders>
            <w:shd w:val="clear" w:color="auto" w:fill="auto"/>
            <w:noWrap/>
            <w:vAlign w:val="center"/>
          </w:tcPr>
          <w:p w14:paraId="52AAAC67"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0.23</w:t>
            </w:r>
          </w:p>
        </w:tc>
        <w:tc>
          <w:tcPr>
            <w:tcW w:w="363" w:type="pct"/>
            <w:tcBorders>
              <w:top w:val="nil"/>
              <w:left w:val="nil"/>
              <w:bottom w:val="nil"/>
              <w:right w:val="nil"/>
            </w:tcBorders>
            <w:shd w:val="clear" w:color="auto" w:fill="auto"/>
            <w:noWrap/>
            <w:vAlign w:val="center"/>
          </w:tcPr>
          <w:p w14:paraId="78A4DA75"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0.01</w:t>
            </w:r>
          </w:p>
        </w:tc>
        <w:tc>
          <w:tcPr>
            <w:tcW w:w="363" w:type="pct"/>
            <w:tcBorders>
              <w:top w:val="nil"/>
              <w:left w:val="nil"/>
              <w:bottom w:val="nil"/>
              <w:right w:val="nil"/>
            </w:tcBorders>
            <w:shd w:val="clear" w:color="auto" w:fill="auto"/>
            <w:noWrap/>
            <w:vAlign w:val="center"/>
          </w:tcPr>
          <w:p w14:paraId="675DC20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0.57</w:t>
            </w:r>
          </w:p>
        </w:tc>
        <w:tc>
          <w:tcPr>
            <w:tcW w:w="344" w:type="pct"/>
            <w:tcBorders>
              <w:top w:val="nil"/>
              <w:left w:val="nil"/>
              <w:bottom w:val="nil"/>
              <w:right w:val="nil"/>
            </w:tcBorders>
            <w:shd w:val="clear" w:color="auto" w:fill="auto"/>
            <w:noWrap/>
            <w:vAlign w:val="center"/>
          </w:tcPr>
          <w:p w14:paraId="12EA36D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0.43</w:t>
            </w:r>
          </w:p>
        </w:tc>
        <w:tc>
          <w:tcPr>
            <w:tcW w:w="370" w:type="pct"/>
            <w:tcBorders>
              <w:top w:val="nil"/>
              <w:left w:val="nil"/>
              <w:bottom w:val="nil"/>
              <w:right w:val="nil"/>
            </w:tcBorders>
            <w:shd w:val="clear" w:color="auto" w:fill="auto"/>
            <w:noWrap/>
            <w:vAlign w:val="center"/>
          </w:tcPr>
          <w:p w14:paraId="3E462F25"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1.77</w:t>
            </w:r>
          </w:p>
        </w:tc>
      </w:tr>
      <w:tr w:rsidR="005577A2" w:rsidRPr="00D006EB" w14:paraId="484F1503" w14:textId="77777777" w:rsidTr="00E616C0">
        <w:trPr>
          <w:trHeight w:val="280"/>
          <w:jc w:val="center"/>
        </w:trPr>
        <w:tc>
          <w:tcPr>
            <w:tcW w:w="433" w:type="pct"/>
            <w:tcBorders>
              <w:top w:val="nil"/>
              <w:left w:val="nil"/>
              <w:bottom w:val="nil"/>
              <w:right w:val="nil"/>
            </w:tcBorders>
            <w:shd w:val="clear" w:color="auto" w:fill="auto"/>
            <w:noWrap/>
          </w:tcPr>
          <w:p w14:paraId="6FF751D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OHA3</w:t>
            </w:r>
            <w:r w:rsidRPr="00D006EB">
              <w:rPr>
                <w:rFonts w:ascii="Times New Roman" w:eastAsia="宋体" w:hAnsi="Times New Roman"/>
                <w:sz w:val="15"/>
                <w:szCs w:val="15"/>
                <w:vertAlign w:val="subscript"/>
              </w:rPr>
              <w:t>H</w:t>
            </w:r>
          </w:p>
        </w:tc>
        <w:tc>
          <w:tcPr>
            <w:tcW w:w="410" w:type="pct"/>
            <w:tcBorders>
              <w:top w:val="nil"/>
              <w:left w:val="nil"/>
              <w:bottom w:val="nil"/>
              <w:right w:val="nil"/>
            </w:tcBorders>
            <w:shd w:val="clear" w:color="auto" w:fill="auto"/>
            <w:noWrap/>
          </w:tcPr>
          <w:p w14:paraId="7E0B2EC5"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0.04</w:t>
            </w:r>
          </w:p>
        </w:tc>
        <w:tc>
          <w:tcPr>
            <w:tcW w:w="478" w:type="pct"/>
            <w:tcBorders>
              <w:top w:val="nil"/>
              <w:left w:val="nil"/>
              <w:bottom w:val="nil"/>
              <w:right w:val="nil"/>
            </w:tcBorders>
            <w:shd w:val="clear" w:color="auto" w:fill="auto"/>
            <w:noWrap/>
          </w:tcPr>
          <w:p w14:paraId="0E0E260B"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0.01</w:t>
            </w:r>
          </w:p>
        </w:tc>
        <w:tc>
          <w:tcPr>
            <w:tcW w:w="428" w:type="pct"/>
            <w:tcBorders>
              <w:top w:val="nil"/>
              <w:left w:val="nil"/>
              <w:bottom w:val="nil"/>
              <w:right w:val="nil"/>
            </w:tcBorders>
            <w:shd w:val="clear" w:color="auto" w:fill="auto"/>
            <w:noWrap/>
          </w:tcPr>
          <w:p w14:paraId="4FD62BD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0.06</w:t>
            </w:r>
          </w:p>
        </w:tc>
        <w:tc>
          <w:tcPr>
            <w:tcW w:w="477" w:type="pct"/>
            <w:tcBorders>
              <w:top w:val="nil"/>
              <w:left w:val="nil"/>
              <w:bottom w:val="nil"/>
              <w:right w:val="nil"/>
            </w:tcBorders>
            <w:shd w:val="clear" w:color="auto" w:fill="auto"/>
            <w:noWrap/>
          </w:tcPr>
          <w:p w14:paraId="665BD72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0.00</w:t>
            </w:r>
          </w:p>
        </w:tc>
        <w:tc>
          <w:tcPr>
            <w:tcW w:w="463" w:type="pct"/>
            <w:tcBorders>
              <w:top w:val="nil"/>
              <w:left w:val="nil"/>
              <w:bottom w:val="nil"/>
              <w:right w:val="nil"/>
            </w:tcBorders>
            <w:shd w:val="clear" w:color="auto" w:fill="auto"/>
            <w:noWrap/>
          </w:tcPr>
          <w:p w14:paraId="6C58DD8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0.52</w:t>
            </w:r>
          </w:p>
        </w:tc>
        <w:tc>
          <w:tcPr>
            <w:tcW w:w="442" w:type="pct"/>
            <w:tcBorders>
              <w:top w:val="nil"/>
              <w:left w:val="nil"/>
              <w:bottom w:val="nil"/>
              <w:right w:val="nil"/>
            </w:tcBorders>
            <w:shd w:val="clear" w:color="auto" w:fill="auto"/>
            <w:noWrap/>
          </w:tcPr>
          <w:p w14:paraId="2837B4BA"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0.16</w:t>
            </w:r>
          </w:p>
        </w:tc>
        <w:tc>
          <w:tcPr>
            <w:tcW w:w="430" w:type="pct"/>
            <w:tcBorders>
              <w:top w:val="nil"/>
              <w:left w:val="nil"/>
              <w:bottom w:val="nil"/>
              <w:right w:val="nil"/>
            </w:tcBorders>
            <w:shd w:val="clear" w:color="auto" w:fill="auto"/>
            <w:noWrap/>
          </w:tcPr>
          <w:p w14:paraId="7C1D0308"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0.20</w:t>
            </w:r>
          </w:p>
        </w:tc>
        <w:tc>
          <w:tcPr>
            <w:tcW w:w="363" w:type="pct"/>
            <w:tcBorders>
              <w:top w:val="nil"/>
              <w:left w:val="nil"/>
              <w:bottom w:val="nil"/>
              <w:right w:val="nil"/>
            </w:tcBorders>
            <w:shd w:val="clear" w:color="auto" w:fill="auto"/>
            <w:noWrap/>
          </w:tcPr>
          <w:p w14:paraId="000A4458"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0.01</w:t>
            </w:r>
          </w:p>
        </w:tc>
        <w:tc>
          <w:tcPr>
            <w:tcW w:w="363" w:type="pct"/>
            <w:tcBorders>
              <w:top w:val="nil"/>
              <w:left w:val="nil"/>
              <w:bottom w:val="nil"/>
              <w:right w:val="nil"/>
            </w:tcBorders>
            <w:shd w:val="clear" w:color="auto" w:fill="auto"/>
            <w:noWrap/>
          </w:tcPr>
          <w:p w14:paraId="24EC8FF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0.68</w:t>
            </w:r>
          </w:p>
        </w:tc>
        <w:tc>
          <w:tcPr>
            <w:tcW w:w="344" w:type="pct"/>
            <w:tcBorders>
              <w:top w:val="nil"/>
              <w:left w:val="nil"/>
              <w:bottom w:val="nil"/>
              <w:right w:val="nil"/>
            </w:tcBorders>
            <w:shd w:val="clear" w:color="auto" w:fill="auto"/>
            <w:noWrap/>
          </w:tcPr>
          <w:p w14:paraId="225B4F06"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0.32</w:t>
            </w:r>
          </w:p>
        </w:tc>
        <w:tc>
          <w:tcPr>
            <w:tcW w:w="370" w:type="pct"/>
            <w:tcBorders>
              <w:top w:val="nil"/>
              <w:left w:val="nil"/>
              <w:bottom w:val="nil"/>
              <w:right w:val="nil"/>
            </w:tcBorders>
            <w:shd w:val="clear" w:color="auto" w:fill="auto"/>
            <w:noWrap/>
          </w:tcPr>
          <w:p w14:paraId="23F34FF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2.66</w:t>
            </w:r>
          </w:p>
        </w:tc>
      </w:tr>
      <w:tr w:rsidR="005577A2" w:rsidRPr="00D006EB" w14:paraId="272000B2" w14:textId="77777777" w:rsidTr="00E616C0">
        <w:trPr>
          <w:trHeight w:val="280"/>
          <w:jc w:val="center"/>
        </w:trPr>
        <w:tc>
          <w:tcPr>
            <w:tcW w:w="433" w:type="pct"/>
            <w:tcBorders>
              <w:top w:val="nil"/>
              <w:left w:val="nil"/>
              <w:bottom w:val="nil"/>
              <w:right w:val="nil"/>
            </w:tcBorders>
            <w:shd w:val="clear" w:color="auto" w:fill="auto"/>
            <w:noWrap/>
          </w:tcPr>
          <w:p w14:paraId="1CE5F7F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OHA3</w:t>
            </w:r>
            <w:r w:rsidRPr="00D006EB">
              <w:rPr>
                <w:rFonts w:ascii="Times New Roman" w:eastAsia="宋体" w:hAnsi="Times New Roman"/>
                <w:sz w:val="15"/>
                <w:szCs w:val="15"/>
                <w:vertAlign w:val="subscript"/>
              </w:rPr>
              <w:t>M</w:t>
            </w:r>
          </w:p>
        </w:tc>
        <w:tc>
          <w:tcPr>
            <w:tcW w:w="410" w:type="pct"/>
            <w:tcBorders>
              <w:top w:val="nil"/>
              <w:left w:val="nil"/>
              <w:bottom w:val="nil"/>
              <w:right w:val="nil"/>
            </w:tcBorders>
            <w:shd w:val="clear" w:color="auto" w:fill="auto"/>
            <w:noWrap/>
          </w:tcPr>
          <w:p w14:paraId="3D66C3CE"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0.04</w:t>
            </w:r>
          </w:p>
        </w:tc>
        <w:tc>
          <w:tcPr>
            <w:tcW w:w="478" w:type="pct"/>
            <w:tcBorders>
              <w:top w:val="nil"/>
              <w:left w:val="nil"/>
              <w:bottom w:val="nil"/>
              <w:right w:val="nil"/>
            </w:tcBorders>
            <w:shd w:val="clear" w:color="auto" w:fill="auto"/>
            <w:noWrap/>
          </w:tcPr>
          <w:p w14:paraId="2A728017"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0.02</w:t>
            </w:r>
          </w:p>
        </w:tc>
        <w:tc>
          <w:tcPr>
            <w:tcW w:w="428" w:type="pct"/>
            <w:tcBorders>
              <w:top w:val="nil"/>
              <w:left w:val="nil"/>
              <w:bottom w:val="nil"/>
              <w:right w:val="nil"/>
            </w:tcBorders>
            <w:shd w:val="clear" w:color="auto" w:fill="auto"/>
            <w:noWrap/>
          </w:tcPr>
          <w:p w14:paraId="05A8CC6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0.09</w:t>
            </w:r>
          </w:p>
        </w:tc>
        <w:tc>
          <w:tcPr>
            <w:tcW w:w="477" w:type="pct"/>
            <w:tcBorders>
              <w:top w:val="nil"/>
              <w:left w:val="nil"/>
              <w:bottom w:val="nil"/>
              <w:right w:val="nil"/>
            </w:tcBorders>
            <w:shd w:val="clear" w:color="auto" w:fill="auto"/>
            <w:noWrap/>
          </w:tcPr>
          <w:p w14:paraId="37B70B7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0.03</w:t>
            </w:r>
          </w:p>
        </w:tc>
        <w:tc>
          <w:tcPr>
            <w:tcW w:w="463" w:type="pct"/>
            <w:tcBorders>
              <w:top w:val="nil"/>
              <w:left w:val="nil"/>
              <w:bottom w:val="nil"/>
              <w:right w:val="nil"/>
            </w:tcBorders>
            <w:shd w:val="clear" w:color="auto" w:fill="auto"/>
            <w:noWrap/>
          </w:tcPr>
          <w:p w14:paraId="043F07CF"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0.46</w:t>
            </w:r>
          </w:p>
        </w:tc>
        <w:tc>
          <w:tcPr>
            <w:tcW w:w="442" w:type="pct"/>
            <w:tcBorders>
              <w:top w:val="nil"/>
              <w:left w:val="nil"/>
              <w:bottom w:val="nil"/>
              <w:right w:val="nil"/>
            </w:tcBorders>
            <w:shd w:val="clear" w:color="auto" w:fill="auto"/>
            <w:noWrap/>
          </w:tcPr>
          <w:p w14:paraId="011B393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0.16</w:t>
            </w:r>
          </w:p>
        </w:tc>
        <w:tc>
          <w:tcPr>
            <w:tcW w:w="430" w:type="pct"/>
            <w:tcBorders>
              <w:top w:val="nil"/>
              <w:left w:val="nil"/>
              <w:bottom w:val="nil"/>
              <w:right w:val="nil"/>
            </w:tcBorders>
            <w:shd w:val="clear" w:color="auto" w:fill="auto"/>
            <w:noWrap/>
          </w:tcPr>
          <w:p w14:paraId="0C6DA7A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0.19</w:t>
            </w:r>
          </w:p>
        </w:tc>
        <w:tc>
          <w:tcPr>
            <w:tcW w:w="363" w:type="pct"/>
            <w:tcBorders>
              <w:top w:val="nil"/>
              <w:left w:val="nil"/>
              <w:bottom w:val="nil"/>
              <w:right w:val="nil"/>
            </w:tcBorders>
            <w:shd w:val="clear" w:color="auto" w:fill="auto"/>
            <w:noWrap/>
          </w:tcPr>
          <w:p w14:paraId="65C4800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0.00</w:t>
            </w:r>
          </w:p>
        </w:tc>
        <w:tc>
          <w:tcPr>
            <w:tcW w:w="363" w:type="pct"/>
            <w:tcBorders>
              <w:top w:val="nil"/>
              <w:left w:val="nil"/>
              <w:bottom w:val="nil"/>
              <w:right w:val="nil"/>
            </w:tcBorders>
            <w:shd w:val="clear" w:color="auto" w:fill="auto"/>
            <w:noWrap/>
          </w:tcPr>
          <w:p w14:paraId="3E6FE518"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0.62</w:t>
            </w:r>
          </w:p>
        </w:tc>
        <w:tc>
          <w:tcPr>
            <w:tcW w:w="344" w:type="pct"/>
            <w:tcBorders>
              <w:top w:val="nil"/>
              <w:left w:val="nil"/>
              <w:bottom w:val="nil"/>
              <w:right w:val="nil"/>
            </w:tcBorders>
            <w:shd w:val="clear" w:color="auto" w:fill="auto"/>
            <w:noWrap/>
          </w:tcPr>
          <w:p w14:paraId="65B49E6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0.38</w:t>
            </w:r>
          </w:p>
        </w:tc>
        <w:tc>
          <w:tcPr>
            <w:tcW w:w="370" w:type="pct"/>
            <w:tcBorders>
              <w:top w:val="nil"/>
              <w:left w:val="nil"/>
              <w:bottom w:val="nil"/>
              <w:right w:val="nil"/>
            </w:tcBorders>
            <w:shd w:val="clear" w:color="auto" w:fill="auto"/>
            <w:noWrap/>
          </w:tcPr>
          <w:p w14:paraId="5D2D1F8B"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2.21</w:t>
            </w:r>
          </w:p>
        </w:tc>
      </w:tr>
      <w:tr w:rsidR="005577A2" w:rsidRPr="00D006EB" w14:paraId="2A223AC6" w14:textId="77777777" w:rsidTr="00E616C0">
        <w:trPr>
          <w:trHeight w:val="280"/>
          <w:jc w:val="center"/>
        </w:trPr>
        <w:tc>
          <w:tcPr>
            <w:tcW w:w="433" w:type="pct"/>
            <w:tcBorders>
              <w:top w:val="nil"/>
              <w:left w:val="nil"/>
              <w:bottom w:val="nil"/>
              <w:right w:val="nil"/>
            </w:tcBorders>
            <w:shd w:val="clear" w:color="auto" w:fill="auto"/>
            <w:noWrap/>
          </w:tcPr>
          <w:p w14:paraId="11C78768"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OHA3</w:t>
            </w:r>
            <w:r w:rsidRPr="00D006EB">
              <w:rPr>
                <w:rFonts w:ascii="Times New Roman" w:eastAsia="宋体" w:hAnsi="Times New Roman"/>
                <w:sz w:val="15"/>
                <w:szCs w:val="15"/>
                <w:vertAlign w:val="subscript"/>
              </w:rPr>
              <w:t>L</w:t>
            </w:r>
          </w:p>
        </w:tc>
        <w:tc>
          <w:tcPr>
            <w:tcW w:w="410" w:type="pct"/>
            <w:tcBorders>
              <w:top w:val="nil"/>
              <w:left w:val="nil"/>
              <w:bottom w:val="nil"/>
              <w:right w:val="nil"/>
            </w:tcBorders>
            <w:shd w:val="clear" w:color="auto" w:fill="auto"/>
            <w:noWrap/>
          </w:tcPr>
          <w:p w14:paraId="2EA252F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0.03</w:t>
            </w:r>
          </w:p>
        </w:tc>
        <w:tc>
          <w:tcPr>
            <w:tcW w:w="478" w:type="pct"/>
            <w:tcBorders>
              <w:top w:val="nil"/>
              <w:left w:val="nil"/>
              <w:bottom w:val="nil"/>
              <w:right w:val="nil"/>
            </w:tcBorders>
            <w:shd w:val="clear" w:color="auto" w:fill="auto"/>
            <w:noWrap/>
          </w:tcPr>
          <w:p w14:paraId="24565BD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0.04</w:t>
            </w:r>
          </w:p>
        </w:tc>
        <w:tc>
          <w:tcPr>
            <w:tcW w:w="428" w:type="pct"/>
            <w:tcBorders>
              <w:top w:val="nil"/>
              <w:left w:val="nil"/>
              <w:bottom w:val="nil"/>
              <w:right w:val="nil"/>
            </w:tcBorders>
            <w:shd w:val="clear" w:color="auto" w:fill="auto"/>
            <w:noWrap/>
          </w:tcPr>
          <w:p w14:paraId="200E668E"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0.08</w:t>
            </w:r>
          </w:p>
        </w:tc>
        <w:tc>
          <w:tcPr>
            <w:tcW w:w="477" w:type="pct"/>
            <w:tcBorders>
              <w:top w:val="nil"/>
              <w:left w:val="nil"/>
              <w:bottom w:val="nil"/>
              <w:right w:val="nil"/>
            </w:tcBorders>
            <w:shd w:val="clear" w:color="auto" w:fill="auto"/>
            <w:noWrap/>
          </w:tcPr>
          <w:p w14:paraId="63811D7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0.01</w:t>
            </w:r>
          </w:p>
        </w:tc>
        <w:tc>
          <w:tcPr>
            <w:tcW w:w="463" w:type="pct"/>
            <w:tcBorders>
              <w:top w:val="nil"/>
              <w:left w:val="nil"/>
              <w:bottom w:val="nil"/>
              <w:right w:val="nil"/>
            </w:tcBorders>
            <w:shd w:val="clear" w:color="auto" w:fill="auto"/>
            <w:noWrap/>
          </w:tcPr>
          <w:p w14:paraId="6B53594E"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0.41</w:t>
            </w:r>
          </w:p>
        </w:tc>
        <w:tc>
          <w:tcPr>
            <w:tcW w:w="442" w:type="pct"/>
            <w:tcBorders>
              <w:top w:val="nil"/>
              <w:left w:val="nil"/>
              <w:bottom w:val="nil"/>
              <w:right w:val="nil"/>
            </w:tcBorders>
            <w:shd w:val="clear" w:color="auto" w:fill="auto"/>
            <w:noWrap/>
          </w:tcPr>
          <w:p w14:paraId="7795FCB2"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0.15</w:t>
            </w:r>
          </w:p>
        </w:tc>
        <w:tc>
          <w:tcPr>
            <w:tcW w:w="430" w:type="pct"/>
            <w:tcBorders>
              <w:top w:val="nil"/>
              <w:left w:val="nil"/>
              <w:bottom w:val="nil"/>
              <w:right w:val="nil"/>
            </w:tcBorders>
            <w:shd w:val="clear" w:color="auto" w:fill="auto"/>
            <w:noWrap/>
          </w:tcPr>
          <w:p w14:paraId="500C202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0.27</w:t>
            </w:r>
          </w:p>
        </w:tc>
        <w:tc>
          <w:tcPr>
            <w:tcW w:w="363" w:type="pct"/>
            <w:tcBorders>
              <w:top w:val="nil"/>
              <w:left w:val="nil"/>
              <w:bottom w:val="nil"/>
              <w:right w:val="nil"/>
            </w:tcBorders>
            <w:shd w:val="clear" w:color="auto" w:fill="auto"/>
            <w:noWrap/>
          </w:tcPr>
          <w:p w14:paraId="7C39D912"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0.00</w:t>
            </w:r>
          </w:p>
        </w:tc>
        <w:tc>
          <w:tcPr>
            <w:tcW w:w="363" w:type="pct"/>
            <w:tcBorders>
              <w:top w:val="nil"/>
              <w:left w:val="nil"/>
              <w:bottom w:val="nil"/>
              <w:right w:val="nil"/>
            </w:tcBorders>
            <w:shd w:val="clear" w:color="auto" w:fill="auto"/>
            <w:noWrap/>
          </w:tcPr>
          <w:p w14:paraId="5249792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0.56</w:t>
            </w:r>
          </w:p>
        </w:tc>
        <w:tc>
          <w:tcPr>
            <w:tcW w:w="344" w:type="pct"/>
            <w:tcBorders>
              <w:top w:val="nil"/>
              <w:left w:val="nil"/>
              <w:bottom w:val="nil"/>
              <w:right w:val="nil"/>
            </w:tcBorders>
            <w:shd w:val="clear" w:color="auto" w:fill="auto"/>
            <w:noWrap/>
          </w:tcPr>
          <w:p w14:paraId="67B8CEE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0.44</w:t>
            </w:r>
          </w:p>
        </w:tc>
        <w:tc>
          <w:tcPr>
            <w:tcW w:w="370" w:type="pct"/>
            <w:tcBorders>
              <w:top w:val="nil"/>
              <w:left w:val="nil"/>
              <w:bottom w:val="nil"/>
              <w:right w:val="nil"/>
            </w:tcBorders>
            <w:shd w:val="clear" w:color="auto" w:fill="auto"/>
            <w:noWrap/>
          </w:tcPr>
          <w:p w14:paraId="37E6BE6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sz w:val="15"/>
                <w:szCs w:val="15"/>
              </w:rPr>
              <w:t>1.73</w:t>
            </w:r>
          </w:p>
        </w:tc>
      </w:tr>
      <w:tr w:rsidR="005577A2" w:rsidRPr="00D006EB" w14:paraId="5EFFFCBF" w14:textId="77777777" w:rsidTr="00E616C0">
        <w:trPr>
          <w:trHeight w:val="280"/>
          <w:jc w:val="center"/>
        </w:trPr>
        <w:tc>
          <w:tcPr>
            <w:tcW w:w="433" w:type="pct"/>
            <w:tcBorders>
              <w:top w:val="nil"/>
              <w:left w:val="nil"/>
              <w:bottom w:val="nil"/>
              <w:right w:val="nil"/>
            </w:tcBorders>
            <w:shd w:val="clear" w:color="auto" w:fill="auto"/>
            <w:noWrap/>
            <w:vAlign w:val="center"/>
          </w:tcPr>
          <w:p w14:paraId="7E3585DB"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OHA6</w:t>
            </w:r>
            <w:r w:rsidRPr="00D006EB">
              <w:rPr>
                <w:rFonts w:ascii="Times New Roman" w:eastAsia="宋体" w:hAnsi="Times New Roman"/>
                <w:kern w:val="0"/>
                <w:sz w:val="15"/>
                <w:szCs w:val="15"/>
                <w:vertAlign w:val="subscript"/>
              </w:rPr>
              <w:t>H</w:t>
            </w:r>
          </w:p>
        </w:tc>
        <w:tc>
          <w:tcPr>
            <w:tcW w:w="410" w:type="pct"/>
            <w:tcBorders>
              <w:top w:val="nil"/>
              <w:left w:val="nil"/>
              <w:bottom w:val="nil"/>
              <w:right w:val="nil"/>
            </w:tcBorders>
            <w:shd w:val="clear" w:color="auto" w:fill="auto"/>
            <w:noWrap/>
            <w:vAlign w:val="center"/>
          </w:tcPr>
          <w:p w14:paraId="665D3125"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0.06</w:t>
            </w:r>
          </w:p>
        </w:tc>
        <w:tc>
          <w:tcPr>
            <w:tcW w:w="478" w:type="pct"/>
            <w:tcBorders>
              <w:top w:val="nil"/>
              <w:left w:val="nil"/>
              <w:bottom w:val="nil"/>
              <w:right w:val="nil"/>
            </w:tcBorders>
            <w:shd w:val="clear" w:color="auto" w:fill="auto"/>
            <w:noWrap/>
            <w:vAlign w:val="center"/>
          </w:tcPr>
          <w:p w14:paraId="20334BC2"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0.02</w:t>
            </w:r>
          </w:p>
        </w:tc>
        <w:tc>
          <w:tcPr>
            <w:tcW w:w="428" w:type="pct"/>
            <w:tcBorders>
              <w:top w:val="nil"/>
              <w:left w:val="nil"/>
              <w:bottom w:val="nil"/>
              <w:right w:val="nil"/>
            </w:tcBorders>
            <w:shd w:val="clear" w:color="auto" w:fill="auto"/>
            <w:noWrap/>
            <w:vAlign w:val="center"/>
          </w:tcPr>
          <w:p w14:paraId="6AEE19DB"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0.08</w:t>
            </w:r>
          </w:p>
        </w:tc>
        <w:tc>
          <w:tcPr>
            <w:tcW w:w="477" w:type="pct"/>
            <w:tcBorders>
              <w:top w:val="nil"/>
              <w:left w:val="nil"/>
              <w:bottom w:val="nil"/>
              <w:right w:val="nil"/>
            </w:tcBorders>
            <w:shd w:val="clear" w:color="auto" w:fill="auto"/>
            <w:noWrap/>
            <w:vAlign w:val="center"/>
          </w:tcPr>
          <w:p w14:paraId="4B62D23B"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0.02</w:t>
            </w:r>
          </w:p>
        </w:tc>
        <w:tc>
          <w:tcPr>
            <w:tcW w:w="463" w:type="pct"/>
            <w:tcBorders>
              <w:top w:val="nil"/>
              <w:left w:val="nil"/>
              <w:bottom w:val="nil"/>
              <w:right w:val="nil"/>
            </w:tcBorders>
            <w:shd w:val="clear" w:color="auto" w:fill="auto"/>
            <w:noWrap/>
            <w:vAlign w:val="center"/>
          </w:tcPr>
          <w:p w14:paraId="2927FC06"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0.50</w:t>
            </w:r>
          </w:p>
        </w:tc>
        <w:tc>
          <w:tcPr>
            <w:tcW w:w="442" w:type="pct"/>
            <w:tcBorders>
              <w:top w:val="nil"/>
              <w:left w:val="nil"/>
              <w:bottom w:val="nil"/>
              <w:right w:val="nil"/>
            </w:tcBorders>
            <w:shd w:val="clear" w:color="auto" w:fill="auto"/>
            <w:noWrap/>
            <w:vAlign w:val="center"/>
          </w:tcPr>
          <w:p w14:paraId="7DFC3CCE"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0.13</w:t>
            </w:r>
          </w:p>
        </w:tc>
        <w:tc>
          <w:tcPr>
            <w:tcW w:w="430" w:type="pct"/>
            <w:tcBorders>
              <w:top w:val="nil"/>
              <w:left w:val="nil"/>
              <w:bottom w:val="nil"/>
              <w:right w:val="nil"/>
            </w:tcBorders>
            <w:shd w:val="clear" w:color="auto" w:fill="auto"/>
            <w:noWrap/>
            <w:vAlign w:val="center"/>
          </w:tcPr>
          <w:p w14:paraId="50B5A7BE"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0.17</w:t>
            </w:r>
          </w:p>
        </w:tc>
        <w:tc>
          <w:tcPr>
            <w:tcW w:w="363" w:type="pct"/>
            <w:tcBorders>
              <w:top w:val="nil"/>
              <w:left w:val="nil"/>
              <w:bottom w:val="nil"/>
              <w:right w:val="nil"/>
            </w:tcBorders>
            <w:shd w:val="clear" w:color="auto" w:fill="auto"/>
            <w:noWrap/>
            <w:vAlign w:val="center"/>
          </w:tcPr>
          <w:p w14:paraId="63F0F61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0.00</w:t>
            </w:r>
          </w:p>
        </w:tc>
        <w:tc>
          <w:tcPr>
            <w:tcW w:w="363" w:type="pct"/>
            <w:tcBorders>
              <w:top w:val="nil"/>
              <w:left w:val="nil"/>
              <w:bottom w:val="nil"/>
              <w:right w:val="nil"/>
            </w:tcBorders>
            <w:shd w:val="clear" w:color="auto" w:fill="auto"/>
            <w:noWrap/>
            <w:vAlign w:val="center"/>
          </w:tcPr>
          <w:p w14:paraId="2E1CE66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0.64</w:t>
            </w:r>
          </w:p>
        </w:tc>
        <w:tc>
          <w:tcPr>
            <w:tcW w:w="344" w:type="pct"/>
            <w:tcBorders>
              <w:top w:val="nil"/>
              <w:left w:val="nil"/>
              <w:bottom w:val="nil"/>
              <w:right w:val="nil"/>
            </w:tcBorders>
            <w:shd w:val="clear" w:color="auto" w:fill="auto"/>
            <w:noWrap/>
            <w:vAlign w:val="center"/>
          </w:tcPr>
          <w:p w14:paraId="25C003C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0.36</w:t>
            </w:r>
          </w:p>
        </w:tc>
        <w:tc>
          <w:tcPr>
            <w:tcW w:w="370" w:type="pct"/>
            <w:tcBorders>
              <w:top w:val="nil"/>
              <w:left w:val="nil"/>
              <w:bottom w:val="nil"/>
              <w:right w:val="nil"/>
            </w:tcBorders>
            <w:shd w:val="clear" w:color="auto" w:fill="auto"/>
            <w:noWrap/>
            <w:vAlign w:val="center"/>
          </w:tcPr>
          <w:p w14:paraId="525D43D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2.59</w:t>
            </w:r>
          </w:p>
        </w:tc>
      </w:tr>
      <w:tr w:rsidR="005577A2" w:rsidRPr="00D006EB" w14:paraId="55690313" w14:textId="77777777" w:rsidTr="00E616C0">
        <w:trPr>
          <w:trHeight w:val="280"/>
          <w:jc w:val="center"/>
        </w:trPr>
        <w:tc>
          <w:tcPr>
            <w:tcW w:w="433" w:type="pct"/>
            <w:tcBorders>
              <w:top w:val="nil"/>
              <w:left w:val="nil"/>
              <w:right w:val="nil"/>
            </w:tcBorders>
            <w:shd w:val="clear" w:color="auto" w:fill="auto"/>
            <w:noWrap/>
            <w:vAlign w:val="center"/>
          </w:tcPr>
          <w:p w14:paraId="1D901856"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OHA6</w:t>
            </w:r>
            <w:r w:rsidRPr="00D006EB">
              <w:rPr>
                <w:rFonts w:ascii="Times New Roman" w:eastAsia="宋体" w:hAnsi="Times New Roman"/>
                <w:kern w:val="0"/>
                <w:sz w:val="15"/>
                <w:szCs w:val="15"/>
                <w:vertAlign w:val="subscript"/>
              </w:rPr>
              <w:t>M</w:t>
            </w:r>
          </w:p>
        </w:tc>
        <w:tc>
          <w:tcPr>
            <w:tcW w:w="410" w:type="pct"/>
            <w:tcBorders>
              <w:top w:val="nil"/>
              <w:left w:val="nil"/>
              <w:right w:val="nil"/>
            </w:tcBorders>
            <w:shd w:val="clear" w:color="auto" w:fill="auto"/>
            <w:noWrap/>
            <w:vAlign w:val="center"/>
          </w:tcPr>
          <w:p w14:paraId="3C0252C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0.06</w:t>
            </w:r>
          </w:p>
        </w:tc>
        <w:tc>
          <w:tcPr>
            <w:tcW w:w="478" w:type="pct"/>
            <w:tcBorders>
              <w:top w:val="nil"/>
              <w:left w:val="nil"/>
              <w:right w:val="nil"/>
            </w:tcBorders>
            <w:shd w:val="clear" w:color="auto" w:fill="auto"/>
            <w:noWrap/>
            <w:vAlign w:val="center"/>
          </w:tcPr>
          <w:p w14:paraId="402DF388"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0.04</w:t>
            </w:r>
          </w:p>
        </w:tc>
        <w:tc>
          <w:tcPr>
            <w:tcW w:w="428" w:type="pct"/>
            <w:tcBorders>
              <w:top w:val="nil"/>
              <w:left w:val="nil"/>
              <w:right w:val="nil"/>
            </w:tcBorders>
            <w:shd w:val="clear" w:color="auto" w:fill="auto"/>
            <w:noWrap/>
            <w:vAlign w:val="center"/>
          </w:tcPr>
          <w:p w14:paraId="3DE4897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0.11</w:t>
            </w:r>
          </w:p>
        </w:tc>
        <w:tc>
          <w:tcPr>
            <w:tcW w:w="477" w:type="pct"/>
            <w:tcBorders>
              <w:top w:val="nil"/>
              <w:left w:val="nil"/>
              <w:right w:val="nil"/>
            </w:tcBorders>
            <w:shd w:val="clear" w:color="auto" w:fill="auto"/>
            <w:noWrap/>
            <w:vAlign w:val="center"/>
          </w:tcPr>
          <w:p w14:paraId="03797026"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0.04</w:t>
            </w:r>
          </w:p>
        </w:tc>
        <w:tc>
          <w:tcPr>
            <w:tcW w:w="463" w:type="pct"/>
            <w:tcBorders>
              <w:top w:val="nil"/>
              <w:left w:val="nil"/>
              <w:right w:val="nil"/>
            </w:tcBorders>
            <w:shd w:val="clear" w:color="auto" w:fill="auto"/>
            <w:noWrap/>
            <w:vAlign w:val="center"/>
          </w:tcPr>
          <w:p w14:paraId="64D008D7"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0.41</w:t>
            </w:r>
          </w:p>
        </w:tc>
        <w:tc>
          <w:tcPr>
            <w:tcW w:w="442" w:type="pct"/>
            <w:tcBorders>
              <w:top w:val="nil"/>
              <w:left w:val="nil"/>
              <w:right w:val="nil"/>
            </w:tcBorders>
            <w:shd w:val="clear" w:color="auto" w:fill="auto"/>
            <w:noWrap/>
            <w:vAlign w:val="center"/>
          </w:tcPr>
          <w:p w14:paraId="1BF0124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0.14</w:t>
            </w:r>
          </w:p>
        </w:tc>
        <w:tc>
          <w:tcPr>
            <w:tcW w:w="430" w:type="pct"/>
            <w:tcBorders>
              <w:top w:val="nil"/>
              <w:left w:val="nil"/>
              <w:right w:val="nil"/>
            </w:tcBorders>
            <w:shd w:val="clear" w:color="auto" w:fill="auto"/>
            <w:noWrap/>
            <w:vAlign w:val="center"/>
          </w:tcPr>
          <w:p w14:paraId="63FAC08E"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0.20</w:t>
            </w:r>
          </w:p>
        </w:tc>
        <w:tc>
          <w:tcPr>
            <w:tcW w:w="363" w:type="pct"/>
            <w:tcBorders>
              <w:top w:val="nil"/>
              <w:left w:val="nil"/>
              <w:right w:val="nil"/>
            </w:tcBorders>
            <w:shd w:val="clear" w:color="auto" w:fill="auto"/>
            <w:noWrap/>
            <w:vAlign w:val="center"/>
          </w:tcPr>
          <w:p w14:paraId="25B9E45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0.01</w:t>
            </w:r>
          </w:p>
        </w:tc>
        <w:tc>
          <w:tcPr>
            <w:tcW w:w="363" w:type="pct"/>
            <w:tcBorders>
              <w:top w:val="nil"/>
              <w:left w:val="nil"/>
              <w:right w:val="nil"/>
            </w:tcBorders>
            <w:shd w:val="clear" w:color="auto" w:fill="auto"/>
            <w:noWrap/>
            <w:vAlign w:val="center"/>
          </w:tcPr>
          <w:p w14:paraId="6779FF3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0.55</w:t>
            </w:r>
          </w:p>
        </w:tc>
        <w:tc>
          <w:tcPr>
            <w:tcW w:w="344" w:type="pct"/>
            <w:tcBorders>
              <w:top w:val="nil"/>
              <w:left w:val="nil"/>
              <w:right w:val="nil"/>
            </w:tcBorders>
            <w:shd w:val="clear" w:color="auto" w:fill="auto"/>
            <w:noWrap/>
            <w:vAlign w:val="center"/>
          </w:tcPr>
          <w:p w14:paraId="4E412631"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0.45</w:t>
            </w:r>
          </w:p>
        </w:tc>
        <w:tc>
          <w:tcPr>
            <w:tcW w:w="370" w:type="pct"/>
            <w:tcBorders>
              <w:top w:val="nil"/>
              <w:left w:val="nil"/>
              <w:right w:val="nil"/>
            </w:tcBorders>
            <w:shd w:val="clear" w:color="auto" w:fill="auto"/>
            <w:noWrap/>
            <w:vAlign w:val="center"/>
          </w:tcPr>
          <w:p w14:paraId="346302A3"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1.84</w:t>
            </w:r>
          </w:p>
        </w:tc>
      </w:tr>
      <w:tr w:rsidR="005577A2" w:rsidRPr="00D006EB" w14:paraId="2AB9AC3D" w14:textId="77777777" w:rsidTr="00E616C0">
        <w:trPr>
          <w:trHeight w:val="280"/>
          <w:jc w:val="center"/>
        </w:trPr>
        <w:tc>
          <w:tcPr>
            <w:tcW w:w="433" w:type="pct"/>
            <w:tcBorders>
              <w:top w:val="nil"/>
              <w:left w:val="nil"/>
              <w:bottom w:val="single" w:sz="12" w:space="0" w:color="auto"/>
              <w:right w:val="nil"/>
            </w:tcBorders>
            <w:shd w:val="clear" w:color="auto" w:fill="auto"/>
            <w:noWrap/>
            <w:vAlign w:val="center"/>
          </w:tcPr>
          <w:p w14:paraId="38A7E444"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OHA6</w:t>
            </w:r>
            <w:r w:rsidRPr="00D006EB">
              <w:rPr>
                <w:rFonts w:ascii="Times New Roman" w:eastAsia="宋体" w:hAnsi="Times New Roman"/>
                <w:kern w:val="0"/>
                <w:sz w:val="15"/>
                <w:szCs w:val="15"/>
                <w:vertAlign w:val="subscript"/>
              </w:rPr>
              <w:t>L</w:t>
            </w:r>
          </w:p>
        </w:tc>
        <w:tc>
          <w:tcPr>
            <w:tcW w:w="410" w:type="pct"/>
            <w:tcBorders>
              <w:top w:val="nil"/>
              <w:left w:val="nil"/>
              <w:bottom w:val="single" w:sz="12" w:space="0" w:color="auto"/>
              <w:right w:val="nil"/>
            </w:tcBorders>
            <w:shd w:val="clear" w:color="auto" w:fill="auto"/>
            <w:noWrap/>
            <w:vAlign w:val="center"/>
          </w:tcPr>
          <w:p w14:paraId="1BECE1EB"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0.07</w:t>
            </w:r>
          </w:p>
        </w:tc>
        <w:tc>
          <w:tcPr>
            <w:tcW w:w="478" w:type="pct"/>
            <w:tcBorders>
              <w:top w:val="nil"/>
              <w:left w:val="nil"/>
              <w:bottom w:val="single" w:sz="12" w:space="0" w:color="auto"/>
              <w:right w:val="nil"/>
            </w:tcBorders>
            <w:shd w:val="clear" w:color="auto" w:fill="auto"/>
            <w:noWrap/>
            <w:vAlign w:val="center"/>
          </w:tcPr>
          <w:p w14:paraId="69A3A659"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0.05</w:t>
            </w:r>
          </w:p>
        </w:tc>
        <w:tc>
          <w:tcPr>
            <w:tcW w:w="428" w:type="pct"/>
            <w:tcBorders>
              <w:top w:val="nil"/>
              <w:left w:val="nil"/>
              <w:bottom w:val="single" w:sz="12" w:space="0" w:color="auto"/>
              <w:right w:val="nil"/>
            </w:tcBorders>
            <w:shd w:val="clear" w:color="auto" w:fill="auto"/>
            <w:noWrap/>
            <w:vAlign w:val="center"/>
          </w:tcPr>
          <w:p w14:paraId="46318417"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0.15</w:t>
            </w:r>
          </w:p>
        </w:tc>
        <w:tc>
          <w:tcPr>
            <w:tcW w:w="477" w:type="pct"/>
            <w:tcBorders>
              <w:top w:val="nil"/>
              <w:left w:val="nil"/>
              <w:bottom w:val="single" w:sz="12" w:space="0" w:color="auto"/>
              <w:right w:val="nil"/>
            </w:tcBorders>
            <w:shd w:val="clear" w:color="auto" w:fill="auto"/>
            <w:noWrap/>
            <w:vAlign w:val="center"/>
          </w:tcPr>
          <w:p w14:paraId="74A5457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0.04</w:t>
            </w:r>
          </w:p>
        </w:tc>
        <w:tc>
          <w:tcPr>
            <w:tcW w:w="463" w:type="pct"/>
            <w:tcBorders>
              <w:top w:val="nil"/>
              <w:left w:val="nil"/>
              <w:bottom w:val="single" w:sz="12" w:space="0" w:color="auto"/>
              <w:right w:val="nil"/>
            </w:tcBorders>
            <w:shd w:val="clear" w:color="auto" w:fill="auto"/>
            <w:noWrap/>
            <w:vAlign w:val="center"/>
          </w:tcPr>
          <w:p w14:paraId="0365C6CA"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0.36</w:t>
            </w:r>
          </w:p>
        </w:tc>
        <w:tc>
          <w:tcPr>
            <w:tcW w:w="442" w:type="pct"/>
            <w:tcBorders>
              <w:top w:val="nil"/>
              <w:left w:val="nil"/>
              <w:bottom w:val="single" w:sz="12" w:space="0" w:color="auto"/>
              <w:right w:val="nil"/>
            </w:tcBorders>
            <w:shd w:val="clear" w:color="auto" w:fill="auto"/>
            <w:noWrap/>
            <w:vAlign w:val="center"/>
          </w:tcPr>
          <w:p w14:paraId="7287D27A"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0.12</w:t>
            </w:r>
          </w:p>
        </w:tc>
        <w:tc>
          <w:tcPr>
            <w:tcW w:w="430" w:type="pct"/>
            <w:tcBorders>
              <w:top w:val="nil"/>
              <w:left w:val="nil"/>
              <w:bottom w:val="single" w:sz="12" w:space="0" w:color="auto"/>
              <w:right w:val="nil"/>
            </w:tcBorders>
            <w:shd w:val="clear" w:color="auto" w:fill="auto"/>
            <w:noWrap/>
            <w:vAlign w:val="center"/>
          </w:tcPr>
          <w:p w14:paraId="5FA27AC5"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0.21</w:t>
            </w:r>
          </w:p>
        </w:tc>
        <w:tc>
          <w:tcPr>
            <w:tcW w:w="363" w:type="pct"/>
            <w:tcBorders>
              <w:top w:val="nil"/>
              <w:left w:val="nil"/>
              <w:bottom w:val="single" w:sz="12" w:space="0" w:color="auto"/>
              <w:right w:val="nil"/>
            </w:tcBorders>
            <w:shd w:val="clear" w:color="auto" w:fill="auto"/>
            <w:noWrap/>
            <w:vAlign w:val="center"/>
          </w:tcPr>
          <w:p w14:paraId="774CB97F"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0.01</w:t>
            </w:r>
          </w:p>
        </w:tc>
        <w:tc>
          <w:tcPr>
            <w:tcW w:w="363" w:type="pct"/>
            <w:tcBorders>
              <w:top w:val="nil"/>
              <w:left w:val="nil"/>
              <w:bottom w:val="single" w:sz="12" w:space="0" w:color="auto"/>
              <w:right w:val="nil"/>
            </w:tcBorders>
            <w:shd w:val="clear" w:color="auto" w:fill="auto"/>
            <w:noWrap/>
            <w:vAlign w:val="center"/>
          </w:tcPr>
          <w:p w14:paraId="5575267C"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0.48</w:t>
            </w:r>
          </w:p>
        </w:tc>
        <w:tc>
          <w:tcPr>
            <w:tcW w:w="344" w:type="pct"/>
            <w:tcBorders>
              <w:top w:val="nil"/>
              <w:left w:val="nil"/>
              <w:bottom w:val="single" w:sz="12" w:space="0" w:color="auto"/>
              <w:right w:val="nil"/>
            </w:tcBorders>
            <w:shd w:val="clear" w:color="auto" w:fill="auto"/>
            <w:noWrap/>
            <w:vAlign w:val="center"/>
          </w:tcPr>
          <w:p w14:paraId="0A524BE0"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0.52</w:t>
            </w:r>
          </w:p>
        </w:tc>
        <w:tc>
          <w:tcPr>
            <w:tcW w:w="370" w:type="pct"/>
            <w:tcBorders>
              <w:top w:val="nil"/>
              <w:left w:val="nil"/>
              <w:bottom w:val="single" w:sz="12" w:space="0" w:color="auto"/>
              <w:right w:val="nil"/>
            </w:tcBorders>
            <w:shd w:val="clear" w:color="auto" w:fill="auto"/>
            <w:noWrap/>
            <w:vAlign w:val="center"/>
          </w:tcPr>
          <w:p w14:paraId="12358846" w14:textId="77777777" w:rsidR="005577A2" w:rsidRPr="00D006EB" w:rsidRDefault="005577A2" w:rsidP="00E616C0">
            <w:pPr>
              <w:widowControl/>
              <w:adjustRightInd w:val="0"/>
              <w:snapToGrid w:val="0"/>
              <w:jc w:val="center"/>
              <w:rPr>
                <w:rFonts w:ascii="Times New Roman" w:eastAsia="宋体" w:hAnsi="Times New Roman"/>
                <w:kern w:val="0"/>
                <w:sz w:val="15"/>
                <w:szCs w:val="15"/>
              </w:rPr>
            </w:pPr>
            <w:r w:rsidRPr="00D006EB">
              <w:rPr>
                <w:rFonts w:ascii="Times New Roman" w:eastAsia="宋体" w:hAnsi="Times New Roman"/>
                <w:kern w:val="0"/>
                <w:sz w:val="15"/>
                <w:szCs w:val="15"/>
              </w:rPr>
              <w:t>1.48</w:t>
            </w:r>
          </w:p>
        </w:tc>
      </w:tr>
    </w:tbl>
    <w:p w14:paraId="30116C97" w14:textId="77777777" w:rsidR="000E2D17" w:rsidRDefault="005577A2" w:rsidP="000E2D17">
      <w:pPr>
        <w:adjustRightInd w:val="0"/>
        <w:snapToGrid w:val="0"/>
        <w:spacing w:line="360" w:lineRule="exact"/>
        <w:ind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对测定腐植酸官能团进行了聚类分析</w:t>
      </w:r>
      <w:r w:rsidR="000E2D17">
        <w:rPr>
          <w:rFonts w:ascii="Times New Roman" w:eastAsia="宋体" w:hAnsi="Times New Roman" w:cs="Times New Roman" w:hint="eastAsia"/>
          <w:kern w:val="0"/>
          <w:szCs w:val="21"/>
        </w:rPr>
        <w:t>（图</w:t>
      </w:r>
      <w:r w:rsidR="000E2D17">
        <w:rPr>
          <w:rFonts w:ascii="Times New Roman" w:eastAsia="宋体" w:hAnsi="Times New Roman" w:cs="Times New Roman" w:hint="eastAsia"/>
          <w:kern w:val="0"/>
          <w:szCs w:val="21"/>
        </w:rPr>
        <w:t>5</w:t>
      </w:r>
      <w:r w:rsidR="000E2D17">
        <w:rPr>
          <w:rFonts w:ascii="Times New Roman" w:eastAsia="宋体" w:hAnsi="Times New Roman" w:cs="Times New Roman" w:hint="eastAsia"/>
          <w:kern w:val="0"/>
          <w:szCs w:val="21"/>
        </w:rPr>
        <w:t>）</w:t>
      </w:r>
      <w:r>
        <w:rPr>
          <w:rFonts w:ascii="Times New Roman" w:eastAsia="宋体" w:hAnsi="Times New Roman"/>
          <w:szCs w:val="21"/>
        </w:rPr>
        <w:t>，可以看出，</w:t>
      </w:r>
      <w:r>
        <w:rPr>
          <w:rFonts w:ascii="Times New Roman" w:eastAsia="宋体" w:hAnsi="Times New Roman"/>
          <w:szCs w:val="21"/>
        </w:rPr>
        <w:t>C</w:t>
      </w:r>
      <w:r>
        <w:rPr>
          <w:rFonts w:ascii="Times New Roman" w:eastAsia="宋体" w:hAnsi="Times New Roman"/>
          <w:szCs w:val="21"/>
          <w:vertAlign w:val="subscript"/>
        </w:rPr>
        <w:t>COO-HR</w:t>
      </w:r>
      <w:r>
        <w:rPr>
          <w:rFonts w:ascii="Times New Roman" w:eastAsia="宋体" w:hAnsi="Times New Roman"/>
          <w:szCs w:val="21"/>
        </w:rPr>
        <w:t>、</w:t>
      </w:r>
      <w:proofErr w:type="spellStart"/>
      <w:r>
        <w:rPr>
          <w:rFonts w:ascii="Times New Roman" w:eastAsia="宋体" w:hAnsi="Times New Roman"/>
          <w:szCs w:val="21"/>
        </w:rPr>
        <w:t>C</w:t>
      </w:r>
      <w:r>
        <w:rPr>
          <w:rFonts w:ascii="Times New Roman" w:eastAsia="宋体" w:hAnsi="Times New Roman"/>
          <w:szCs w:val="21"/>
          <w:vertAlign w:val="subscript"/>
        </w:rPr>
        <w:t>Ar</w:t>
      </w:r>
      <w:proofErr w:type="spellEnd"/>
      <w:r>
        <w:rPr>
          <w:rFonts w:ascii="Times New Roman" w:eastAsia="宋体" w:hAnsi="Times New Roman"/>
          <w:szCs w:val="21"/>
          <w:vertAlign w:val="subscript"/>
        </w:rPr>
        <w:t>-ON</w:t>
      </w:r>
      <w:r>
        <w:rPr>
          <w:rFonts w:ascii="Times New Roman" w:eastAsia="宋体" w:hAnsi="Times New Roman"/>
          <w:szCs w:val="21"/>
        </w:rPr>
        <w:t>含量、</w:t>
      </w:r>
      <w:r>
        <w:rPr>
          <w:rFonts w:ascii="Times New Roman" w:eastAsia="宋体" w:hAnsi="Times New Roman"/>
          <w:szCs w:val="21"/>
        </w:rPr>
        <w:t>O/C</w:t>
      </w:r>
      <w:r>
        <w:rPr>
          <w:rFonts w:ascii="Times New Roman" w:eastAsia="宋体" w:hAnsi="Times New Roman"/>
          <w:szCs w:val="21"/>
        </w:rPr>
        <w:t>比和</w:t>
      </w:r>
      <w:r>
        <w:rPr>
          <w:rFonts w:ascii="Times New Roman" w:eastAsia="宋体" w:hAnsi="Times New Roman"/>
          <w:szCs w:val="21"/>
        </w:rPr>
        <w:t>O</w:t>
      </w:r>
      <w:r>
        <w:rPr>
          <w:rFonts w:ascii="Times New Roman" w:eastAsia="宋体" w:hAnsi="Times New Roman"/>
          <w:szCs w:val="21"/>
        </w:rPr>
        <w:t>含量相似性较好，</w:t>
      </w:r>
      <w:r>
        <w:rPr>
          <w:rFonts w:ascii="Times New Roman" w:eastAsia="宋体" w:hAnsi="Times New Roman"/>
          <w:szCs w:val="21"/>
        </w:rPr>
        <w:t>E4/E6</w:t>
      </w:r>
      <w:r>
        <w:rPr>
          <w:rFonts w:ascii="Times New Roman" w:eastAsia="宋体" w:hAnsi="Times New Roman"/>
          <w:szCs w:val="21"/>
        </w:rPr>
        <w:t>比、</w:t>
      </w:r>
      <w:r>
        <w:rPr>
          <w:rFonts w:ascii="Times New Roman" w:eastAsia="宋体" w:hAnsi="Times New Roman"/>
          <w:szCs w:val="21"/>
        </w:rPr>
        <w:t>E2/E3</w:t>
      </w:r>
      <w:r>
        <w:rPr>
          <w:rFonts w:ascii="Times New Roman" w:eastAsia="宋体" w:hAnsi="Times New Roman"/>
          <w:szCs w:val="21"/>
        </w:rPr>
        <w:t>比、</w:t>
      </w:r>
      <w:r>
        <w:rPr>
          <w:rFonts w:ascii="Times New Roman" w:eastAsia="宋体" w:hAnsi="Times New Roman"/>
          <w:szCs w:val="21"/>
        </w:rPr>
        <w:t>C</w:t>
      </w:r>
      <w:r>
        <w:rPr>
          <w:rFonts w:ascii="Times New Roman" w:eastAsia="宋体" w:hAnsi="Times New Roman"/>
          <w:szCs w:val="21"/>
          <w:vertAlign w:val="subscript"/>
        </w:rPr>
        <w:t>C=O</w:t>
      </w:r>
      <w:r>
        <w:rPr>
          <w:rFonts w:ascii="Times New Roman" w:eastAsia="宋体" w:hAnsi="Times New Roman"/>
          <w:szCs w:val="21"/>
        </w:rPr>
        <w:t>含量和</w:t>
      </w:r>
      <w:r>
        <w:rPr>
          <w:rFonts w:ascii="Times New Roman" w:eastAsia="宋体" w:hAnsi="Times New Roman"/>
          <w:szCs w:val="21"/>
        </w:rPr>
        <w:t>H</w:t>
      </w:r>
      <w:r>
        <w:rPr>
          <w:rFonts w:ascii="Times New Roman" w:eastAsia="宋体" w:hAnsi="Times New Roman"/>
          <w:szCs w:val="21"/>
        </w:rPr>
        <w:t>含量相似性较好，</w:t>
      </w:r>
      <w:proofErr w:type="spellStart"/>
      <w:r>
        <w:rPr>
          <w:rFonts w:ascii="Times New Roman" w:eastAsia="宋体" w:hAnsi="Times New Roman"/>
          <w:szCs w:val="21"/>
        </w:rPr>
        <w:t>C</w:t>
      </w:r>
      <w:r>
        <w:rPr>
          <w:rFonts w:ascii="Times New Roman" w:eastAsia="宋体" w:hAnsi="Times New Roman"/>
          <w:szCs w:val="21"/>
          <w:vertAlign w:val="subscript"/>
        </w:rPr>
        <w:t>Alk</w:t>
      </w:r>
      <w:proofErr w:type="spellEnd"/>
      <w:r>
        <w:rPr>
          <w:rFonts w:ascii="Times New Roman" w:eastAsia="宋体" w:hAnsi="Times New Roman"/>
          <w:szCs w:val="21"/>
          <w:vertAlign w:val="subscript"/>
        </w:rPr>
        <w:t>-ON</w:t>
      </w:r>
      <w:r>
        <w:rPr>
          <w:rFonts w:ascii="Times New Roman" w:eastAsia="宋体" w:hAnsi="Times New Roman"/>
          <w:szCs w:val="21"/>
        </w:rPr>
        <w:t>含量、</w:t>
      </w:r>
      <w:proofErr w:type="spellStart"/>
      <w:r>
        <w:rPr>
          <w:rFonts w:ascii="Times New Roman" w:eastAsia="宋体" w:hAnsi="Times New Roman"/>
          <w:szCs w:val="21"/>
        </w:rPr>
        <w:t>C</w:t>
      </w:r>
      <w:r>
        <w:rPr>
          <w:rFonts w:ascii="Times New Roman" w:eastAsia="宋体" w:hAnsi="Times New Roman"/>
          <w:szCs w:val="21"/>
          <w:vertAlign w:val="subscript"/>
        </w:rPr>
        <w:t>Alk</w:t>
      </w:r>
      <w:proofErr w:type="spellEnd"/>
      <w:r>
        <w:rPr>
          <w:rFonts w:ascii="Times New Roman" w:eastAsia="宋体" w:hAnsi="Times New Roman"/>
          <w:szCs w:val="21"/>
          <w:vertAlign w:val="subscript"/>
        </w:rPr>
        <w:t>-O</w:t>
      </w:r>
      <w:r>
        <w:rPr>
          <w:rFonts w:ascii="Times New Roman" w:eastAsia="宋体" w:hAnsi="Times New Roman"/>
          <w:szCs w:val="21"/>
        </w:rPr>
        <w:t>含量、</w:t>
      </w:r>
      <w:proofErr w:type="spellStart"/>
      <w:r>
        <w:rPr>
          <w:rFonts w:ascii="Times New Roman" w:eastAsia="宋体" w:hAnsi="Times New Roman"/>
          <w:szCs w:val="21"/>
        </w:rPr>
        <w:t>C</w:t>
      </w:r>
      <w:r>
        <w:rPr>
          <w:rFonts w:ascii="Times New Roman" w:eastAsia="宋体" w:hAnsi="Times New Roman"/>
          <w:szCs w:val="21"/>
          <w:vertAlign w:val="subscript"/>
        </w:rPr>
        <w:t>Alk</w:t>
      </w:r>
      <w:proofErr w:type="spellEnd"/>
      <w:r>
        <w:rPr>
          <w:rFonts w:ascii="Times New Roman" w:eastAsia="宋体" w:hAnsi="Times New Roman"/>
          <w:szCs w:val="21"/>
          <w:vertAlign w:val="subscript"/>
        </w:rPr>
        <w:t>-HR</w:t>
      </w:r>
      <w:r>
        <w:rPr>
          <w:rFonts w:ascii="Times New Roman" w:eastAsia="宋体" w:hAnsi="Times New Roman"/>
          <w:szCs w:val="21"/>
        </w:rPr>
        <w:t>含量、</w:t>
      </w:r>
      <w:proofErr w:type="spellStart"/>
      <w:r>
        <w:rPr>
          <w:rFonts w:ascii="Times New Roman" w:eastAsia="宋体" w:hAnsi="Times New Roman"/>
          <w:szCs w:val="21"/>
        </w:rPr>
        <w:t>Alip</w:t>
      </w:r>
      <w:proofErr w:type="spellEnd"/>
      <w:r>
        <w:rPr>
          <w:rFonts w:ascii="Times New Roman" w:eastAsia="宋体" w:hAnsi="Times New Roman"/>
          <w:szCs w:val="21"/>
        </w:rPr>
        <w:t>值、</w:t>
      </w:r>
      <w:proofErr w:type="spellStart"/>
      <w:r>
        <w:rPr>
          <w:rFonts w:ascii="Times New Roman" w:eastAsia="宋体" w:hAnsi="Times New Roman"/>
          <w:szCs w:val="21"/>
        </w:rPr>
        <w:t>C</w:t>
      </w:r>
      <w:r>
        <w:rPr>
          <w:rFonts w:ascii="Times New Roman" w:eastAsia="宋体" w:hAnsi="Times New Roman"/>
          <w:szCs w:val="21"/>
          <w:vertAlign w:val="subscript"/>
        </w:rPr>
        <w:t>Alk</w:t>
      </w:r>
      <w:proofErr w:type="spellEnd"/>
      <w:r>
        <w:rPr>
          <w:rFonts w:ascii="Times New Roman" w:eastAsia="宋体" w:hAnsi="Times New Roman"/>
          <w:szCs w:val="21"/>
          <w:vertAlign w:val="subscript"/>
        </w:rPr>
        <w:t>-di-O</w:t>
      </w:r>
      <w:r>
        <w:rPr>
          <w:rFonts w:ascii="Times New Roman" w:eastAsia="宋体" w:hAnsi="Times New Roman"/>
          <w:szCs w:val="21"/>
        </w:rPr>
        <w:t>含量和</w:t>
      </w:r>
      <w:r>
        <w:rPr>
          <w:rFonts w:ascii="Times New Roman" w:eastAsia="宋体" w:hAnsi="Times New Roman"/>
          <w:szCs w:val="21"/>
        </w:rPr>
        <w:t>C/N</w:t>
      </w:r>
      <w:r>
        <w:rPr>
          <w:rFonts w:ascii="Times New Roman" w:eastAsia="宋体" w:hAnsi="Times New Roman"/>
          <w:szCs w:val="21"/>
        </w:rPr>
        <w:t>比相似性较好，</w:t>
      </w:r>
      <w:proofErr w:type="spellStart"/>
      <w:r>
        <w:rPr>
          <w:rFonts w:ascii="Times New Roman" w:eastAsia="宋体" w:hAnsi="Times New Roman"/>
          <w:szCs w:val="21"/>
        </w:rPr>
        <w:t>Arom</w:t>
      </w:r>
      <w:proofErr w:type="spellEnd"/>
      <w:r>
        <w:rPr>
          <w:rFonts w:ascii="Times New Roman" w:eastAsia="宋体" w:hAnsi="Times New Roman"/>
          <w:szCs w:val="21"/>
        </w:rPr>
        <w:t>值、</w:t>
      </w:r>
      <w:r>
        <w:rPr>
          <w:rFonts w:ascii="Times New Roman" w:eastAsia="宋体" w:hAnsi="Times New Roman"/>
          <w:szCs w:val="21"/>
        </w:rPr>
        <w:t>HI</w:t>
      </w:r>
      <w:r>
        <w:rPr>
          <w:rFonts w:ascii="Times New Roman" w:eastAsia="宋体" w:hAnsi="Times New Roman"/>
          <w:szCs w:val="21"/>
        </w:rPr>
        <w:t>、</w:t>
      </w:r>
      <w:proofErr w:type="spellStart"/>
      <w:r>
        <w:rPr>
          <w:rFonts w:ascii="Times New Roman" w:eastAsia="宋体" w:hAnsi="Times New Roman"/>
          <w:szCs w:val="21"/>
        </w:rPr>
        <w:t>C</w:t>
      </w:r>
      <w:r>
        <w:rPr>
          <w:rFonts w:ascii="Times New Roman" w:eastAsia="宋体" w:hAnsi="Times New Roman"/>
          <w:szCs w:val="21"/>
          <w:vertAlign w:val="subscript"/>
        </w:rPr>
        <w:t>Ar</w:t>
      </w:r>
      <w:proofErr w:type="spellEnd"/>
      <w:r>
        <w:rPr>
          <w:rFonts w:ascii="Times New Roman" w:eastAsia="宋体" w:hAnsi="Times New Roman"/>
          <w:szCs w:val="21"/>
          <w:vertAlign w:val="subscript"/>
        </w:rPr>
        <w:t>-HR</w:t>
      </w:r>
      <w:r>
        <w:rPr>
          <w:rFonts w:ascii="Times New Roman" w:eastAsia="宋体" w:hAnsi="Times New Roman"/>
          <w:szCs w:val="21"/>
        </w:rPr>
        <w:t>含量、</w:t>
      </w:r>
      <w:r>
        <w:rPr>
          <w:rFonts w:ascii="Times New Roman" w:eastAsia="宋体" w:hAnsi="Times New Roman"/>
          <w:szCs w:val="21"/>
        </w:rPr>
        <w:t>C/H</w:t>
      </w:r>
      <w:r>
        <w:rPr>
          <w:rFonts w:ascii="Times New Roman" w:eastAsia="宋体" w:hAnsi="Times New Roman"/>
          <w:szCs w:val="21"/>
        </w:rPr>
        <w:t>比、</w:t>
      </w:r>
      <w:r>
        <w:rPr>
          <w:rFonts w:ascii="Times New Roman" w:eastAsia="宋体" w:hAnsi="Times New Roman"/>
          <w:szCs w:val="21"/>
        </w:rPr>
        <w:t>N</w:t>
      </w:r>
      <w:r>
        <w:rPr>
          <w:rFonts w:ascii="Times New Roman" w:eastAsia="宋体" w:hAnsi="Times New Roman"/>
          <w:szCs w:val="21"/>
        </w:rPr>
        <w:t>含量、</w:t>
      </w:r>
      <w:r>
        <w:rPr>
          <w:rFonts w:ascii="Times New Roman" w:eastAsia="宋体" w:hAnsi="Times New Roman"/>
          <w:szCs w:val="21"/>
        </w:rPr>
        <w:t>C</w:t>
      </w:r>
      <w:r>
        <w:rPr>
          <w:rFonts w:ascii="Times New Roman" w:eastAsia="宋体" w:hAnsi="Times New Roman"/>
          <w:szCs w:val="21"/>
        </w:rPr>
        <w:t>含量相似性较好。</w:t>
      </w:r>
    </w:p>
    <w:p w14:paraId="277F9AD3" w14:textId="77777777" w:rsidR="005577A2" w:rsidRDefault="000E2D17" w:rsidP="005577A2">
      <w:pPr>
        <w:adjustRightInd w:val="0"/>
        <w:snapToGrid w:val="0"/>
        <w:spacing w:beforeLines="50" w:before="156" w:afterLines="50" w:after="156" w:line="300" w:lineRule="auto"/>
        <w:ind w:firstLineChars="200" w:firstLine="420"/>
        <w:jc w:val="left"/>
        <w:rPr>
          <w:rFonts w:ascii="Times New Roman" w:eastAsia="宋体" w:hAnsi="Times New Roman" w:cs="Times New Roman"/>
          <w:kern w:val="0"/>
          <w:szCs w:val="21"/>
        </w:rPr>
      </w:pPr>
      <w:r>
        <w:rPr>
          <w:rFonts w:ascii="Times New Roman" w:hAnsi="Times New Roman"/>
          <w:noProof/>
        </w:rPr>
        <w:drawing>
          <wp:anchor distT="0" distB="0" distL="114935" distR="114935" simplePos="0" relativeHeight="251863040" behindDoc="0" locked="0" layoutInCell="1" allowOverlap="1" wp14:anchorId="5262FA75" wp14:editId="3A2F30BF">
            <wp:simplePos x="0" y="0"/>
            <wp:positionH relativeFrom="column">
              <wp:posOffset>1530350</wp:posOffset>
            </wp:positionH>
            <wp:positionV relativeFrom="paragraph">
              <wp:posOffset>102235</wp:posOffset>
            </wp:positionV>
            <wp:extent cx="2350800" cy="2293200"/>
            <wp:effectExtent l="0" t="0" r="0" b="0"/>
            <wp:wrapNone/>
            <wp:docPr id="20"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59"/>
                    <pic:cNvPicPr>
                      <a:picLocks noChangeAspect="1"/>
                    </pic:cNvPicPr>
                  </pic:nvPicPr>
                  <pic:blipFill>
                    <a:blip r:embed="rId12"/>
                    <a:stretch>
                      <a:fillRect/>
                    </a:stretch>
                  </pic:blipFill>
                  <pic:spPr>
                    <a:xfrm>
                      <a:off x="0" y="0"/>
                      <a:ext cx="2350800" cy="2293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634C71" w14:textId="77777777" w:rsidR="005577A2" w:rsidRDefault="005577A2" w:rsidP="005577A2">
      <w:pPr>
        <w:adjustRightInd w:val="0"/>
        <w:snapToGrid w:val="0"/>
        <w:spacing w:line="360" w:lineRule="exact"/>
        <w:ind w:firstLine="420"/>
        <w:rPr>
          <w:rFonts w:ascii="Times New Roman" w:eastAsia="宋体" w:hAnsi="Times New Roman"/>
          <w:szCs w:val="24"/>
        </w:rPr>
      </w:pPr>
    </w:p>
    <w:p w14:paraId="2D78894E" w14:textId="77777777" w:rsidR="005577A2" w:rsidRDefault="005577A2" w:rsidP="005577A2">
      <w:pPr>
        <w:adjustRightInd w:val="0"/>
        <w:snapToGrid w:val="0"/>
        <w:spacing w:line="360" w:lineRule="exact"/>
        <w:ind w:firstLine="420"/>
        <w:rPr>
          <w:rFonts w:ascii="Times New Roman" w:eastAsia="宋体" w:hAnsi="Times New Roman"/>
          <w:szCs w:val="24"/>
        </w:rPr>
      </w:pPr>
    </w:p>
    <w:p w14:paraId="043851A7" w14:textId="77777777" w:rsidR="005577A2" w:rsidRDefault="005577A2" w:rsidP="005577A2">
      <w:pPr>
        <w:adjustRightInd w:val="0"/>
        <w:snapToGrid w:val="0"/>
        <w:spacing w:line="360" w:lineRule="exact"/>
        <w:ind w:firstLine="420"/>
        <w:rPr>
          <w:rFonts w:ascii="Times New Roman" w:eastAsia="宋体" w:hAnsi="Times New Roman"/>
          <w:szCs w:val="24"/>
        </w:rPr>
      </w:pPr>
    </w:p>
    <w:p w14:paraId="7FA11EC0" w14:textId="77777777" w:rsidR="005577A2" w:rsidRDefault="005577A2" w:rsidP="005577A2">
      <w:pPr>
        <w:adjustRightInd w:val="0"/>
        <w:snapToGrid w:val="0"/>
        <w:spacing w:line="360" w:lineRule="exact"/>
        <w:ind w:firstLine="420"/>
        <w:rPr>
          <w:rFonts w:ascii="Times New Roman" w:eastAsia="宋体" w:hAnsi="Times New Roman"/>
          <w:szCs w:val="24"/>
        </w:rPr>
      </w:pPr>
    </w:p>
    <w:p w14:paraId="63259699" w14:textId="77777777" w:rsidR="005577A2" w:rsidRDefault="005577A2" w:rsidP="005577A2">
      <w:pPr>
        <w:adjustRightInd w:val="0"/>
        <w:snapToGrid w:val="0"/>
        <w:spacing w:line="360" w:lineRule="exact"/>
        <w:ind w:firstLine="420"/>
        <w:rPr>
          <w:rFonts w:ascii="Times New Roman" w:eastAsia="宋体" w:hAnsi="Times New Roman"/>
          <w:szCs w:val="24"/>
        </w:rPr>
      </w:pPr>
    </w:p>
    <w:p w14:paraId="340F4652" w14:textId="77777777" w:rsidR="005577A2" w:rsidRDefault="005577A2" w:rsidP="005577A2">
      <w:pPr>
        <w:adjustRightInd w:val="0"/>
        <w:snapToGrid w:val="0"/>
        <w:spacing w:line="360" w:lineRule="exact"/>
        <w:ind w:firstLine="420"/>
        <w:rPr>
          <w:rFonts w:ascii="Times New Roman" w:eastAsia="宋体" w:hAnsi="Times New Roman"/>
          <w:szCs w:val="24"/>
        </w:rPr>
      </w:pPr>
    </w:p>
    <w:p w14:paraId="4909905B" w14:textId="77777777" w:rsidR="005577A2" w:rsidRDefault="005577A2" w:rsidP="005577A2">
      <w:pPr>
        <w:adjustRightInd w:val="0"/>
        <w:snapToGrid w:val="0"/>
        <w:spacing w:line="360" w:lineRule="exact"/>
        <w:ind w:firstLine="420"/>
        <w:rPr>
          <w:rFonts w:ascii="Times New Roman" w:eastAsia="宋体" w:hAnsi="Times New Roman"/>
          <w:szCs w:val="24"/>
        </w:rPr>
      </w:pPr>
    </w:p>
    <w:p w14:paraId="0EF3C15D" w14:textId="77777777" w:rsidR="005577A2" w:rsidRDefault="005577A2" w:rsidP="005577A2">
      <w:pPr>
        <w:adjustRightInd w:val="0"/>
        <w:snapToGrid w:val="0"/>
        <w:spacing w:line="360" w:lineRule="exact"/>
        <w:ind w:firstLine="420"/>
        <w:rPr>
          <w:rFonts w:ascii="Times New Roman" w:eastAsia="宋体" w:hAnsi="Times New Roman"/>
          <w:szCs w:val="24"/>
        </w:rPr>
      </w:pPr>
    </w:p>
    <w:p w14:paraId="384DB925" w14:textId="77777777" w:rsidR="005577A2" w:rsidRDefault="005577A2" w:rsidP="005577A2">
      <w:pPr>
        <w:adjustRightInd w:val="0"/>
        <w:snapToGrid w:val="0"/>
        <w:spacing w:line="360" w:lineRule="exact"/>
        <w:ind w:firstLine="420"/>
        <w:rPr>
          <w:rFonts w:ascii="Times New Roman" w:eastAsia="宋体" w:hAnsi="Times New Roman"/>
          <w:szCs w:val="24"/>
        </w:rPr>
      </w:pPr>
    </w:p>
    <w:p w14:paraId="18C4884D" w14:textId="77777777" w:rsidR="005577A2" w:rsidRDefault="005577A2" w:rsidP="005577A2">
      <w:pPr>
        <w:adjustRightInd w:val="0"/>
        <w:snapToGrid w:val="0"/>
        <w:spacing w:line="360" w:lineRule="exact"/>
        <w:ind w:firstLine="420"/>
        <w:jc w:val="center"/>
        <w:rPr>
          <w:rFonts w:ascii="Times New Roman" w:eastAsia="宋体" w:hAnsi="Times New Roman"/>
          <w:szCs w:val="24"/>
        </w:rPr>
      </w:pPr>
      <w:r>
        <w:rPr>
          <w:rFonts w:ascii="Times New Roman" w:eastAsia="宋体" w:hAnsi="Times New Roman" w:hint="eastAsia"/>
          <w:szCs w:val="24"/>
        </w:rPr>
        <w:t>图</w:t>
      </w:r>
      <w:r>
        <w:rPr>
          <w:rFonts w:ascii="Times New Roman" w:eastAsia="宋体" w:hAnsi="Times New Roman" w:hint="eastAsia"/>
          <w:szCs w:val="24"/>
        </w:rPr>
        <w:t xml:space="preserve">5  </w:t>
      </w:r>
      <w:r>
        <w:rPr>
          <w:rFonts w:ascii="Times New Roman" w:eastAsia="宋体" w:hAnsi="Times New Roman" w:hint="eastAsia"/>
          <w:szCs w:val="24"/>
        </w:rPr>
        <w:t>腐植酸测定指标的聚类分析</w:t>
      </w:r>
    </w:p>
    <w:p w14:paraId="46ADACDE" w14:textId="77777777" w:rsidR="005577A2" w:rsidRDefault="005577A2" w:rsidP="005577A2">
      <w:pPr>
        <w:adjustRightInd w:val="0"/>
        <w:snapToGrid w:val="0"/>
        <w:spacing w:beforeLines="50" w:before="156" w:afterLines="50" w:after="156" w:line="300" w:lineRule="auto"/>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sidR="000E2D17">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 xml:space="preserve">.2 </w:t>
      </w:r>
      <w:r>
        <w:rPr>
          <w:rFonts w:ascii="Times New Roman" w:eastAsia="宋体" w:hAnsi="Times New Roman" w:cs="Times New Roman" w:hint="eastAsia"/>
          <w:kern w:val="0"/>
          <w:szCs w:val="21"/>
        </w:rPr>
        <w:t>不同分子量腐植酸对作物生长的影响</w:t>
      </w:r>
    </w:p>
    <w:p w14:paraId="0FCD91A6" w14:textId="77777777" w:rsidR="000E2D17" w:rsidRDefault="005577A2" w:rsidP="000E2D17">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进一步验证</w:t>
      </w:r>
      <w:r w:rsidR="000E2D17">
        <w:rPr>
          <w:rFonts w:ascii="Times New Roman" w:eastAsia="宋体" w:hAnsi="Times New Roman" w:cs="Times New Roman" w:hint="eastAsia"/>
          <w:kern w:val="0"/>
          <w:szCs w:val="21"/>
        </w:rPr>
        <w:t>不同分子量</w:t>
      </w:r>
      <w:r>
        <w:rPr>
          <w:rFonts w:ascii="Times New Roman" w:eastAsia="宋体" w:hAnsi="Times New Roman" w:cs="Times New Roman" w:hint="eastAsia"/>
          <w:kern w:val="0"/>
          <w:szCs w:val="21"/>
        </w:rPr>
        <w:t>腐植酸活性高低，进行了生物学验证试验。选用高、中、低分子量腐植酸在</w:t>
      </w:r>
      <w:r>
        <w:rPr>
          <w:rFonts w:ascii="Times New Roman" w:eastAsia="宋体" w:hAnsi="Times New Roman" w:cs="Times New Roman" w:hint="eastAsia"/>
          <w:kern w:val="0"/>
          <w:szCs w:val="21"/>
        </w:rPr>
        <w:t>50ppm</w:t>
      </w:r>
      <w:r>
        <w:rPr>
          <w:rFonts w:ascii="Times New Roman" w:eastAsia="宋体" w:hAnsi="Times New Roman" w:cs="Times New Roman" w:hint="eastAsia"/>
          <w:kern w:val="0"/>
          <w:szCs w:val="21"/>
        </w:rPr>
        <w:t>浓度下进行玉米水培试验，结果见表</w:t>
      </w:r>
      <w:r w:rsidR="000E2D17">
        <w:rPr>
          <w:rFonts w:ascii="Times New Roman" w:eastAsia="宋体" w:hAnsi="Times New Roman" w:cs="Times New Roman" w:hint="eastAsia"/>
          <w:kern w:val="0"/>
          <w:szCs w:val="21"/>
        </w:rPr>
        <w:t>4</w:t>
      </w:r>
      <w:r>
        <w:rPr>
          <w:rFonts w:ascii="Times New Roman" w:eastAsia="宋体" w:hAnsi="Times New Roman" w:cs="Times New Roman" w:hint="eastAsia"/>
          <w:kern w:val="0"/>
          <w:szCs w:val="21"/>
        </w:rPr>
        <w:t>。</w:t>
      </w:r>
      <w:r w:rsidR="000E2D17">
        <w:rPr>
          <w:rFonts w:ascii="Times New Roman" w:eastAsia="宋体" w:hAnsi="Times New Roman" w:cs="Times New Roman" w:hint="eastAsia"/>
          <w:kern w:val="0"/>
          <w:szCs w:val="21"/>
        </w:rPr>
        <w:t>随腐植酸分子量的减小，玉米植株长势越好，根系越健壮。低分子量腐植酸根干重是高分子量腐植酸的</w:t>
      </w:r>
      <w:r w:rsidR="000E2D17">
        <w:rPr>
          <w:rFonts w:ascii="Times New Roman" w:eastAsia="宋体" w:hAnsi="Times New Roman" w:cs="Times New Roman" w:hint="eastAsia"/>
          <w:kern w:val="0"/>
          <w:szCs w:val="21"/>
        </w:rPr>
        <w:t>2</w:t>
      </w:r>
      <w:r w:rsidR="000E2D17">
        <w:rPr>
          <w:rFonts w:ascii="Times New Roman" w:eastAsia="宋体" w:hAnsi="Times New Roman" w:cs="Times New Roman" w:hint="eastAsia"/>
          <w:kern w:val="0"/>
          <w:szCs w:val="21"/>
        </w:rPr>
        <w:t>倍，中等分子量腐植酸根干重较高分子量腐植酸提高</w:t>
      </w:r>
      <w:r w:rsidR="000E2D17">
        <w:rPr>
          <w:rFonts w:ascii="Times New Roman" w:eastAsia="宋体" w:hAnsi="Times New Roman" w:cs="Times New Roman" w:hint="eastAsia"/>
          <w:kern w:val="0"/>
          <w:szCs w:val="21"/>
        </w:rPr>
        <w:t>71%</w:t>
      </w:r>
      <w:r w:rsidR="000E2D17">
        <w:rPr>
          <w:rFonts w:ascii="Times New Roman" w:eastAsia="宋体" w:hAnsi="Times New Roman" w:cs="Times New Roman" w:hint="eastAsia"/>
          <w:kern w:val="0"/>
          <w:szCs w:val="21"/>
        </w:rPr>
        <w:t>，可见，中等分子量腐植酸的生物活性达到低分子量腐植酸生物活性的</w:t>
      </w:r>
      <w:r w:rsidR="000E2D17">
        <w:rPr>
          <w:rFonts w:ascii="Times New Roman" w:eastAsia="宋体" w:hAnsi="Times New Roman" w:cs="Times New Roman" w:hint="eastAsia"/>
          <w:kern w:val="0"/>
          <w:szCs w:val="21"/>
        </w:rPr>
        <w:t>70%</w:t>
      </w:r>
      <w:r w:rsidR="000E2D17">
        <w:rPr>
          <w:rFonts w:ascii="Times New Roman" w:eastAsia="宋体" w:hAnsi="Times New Roman" w:cs="Times New Roman" w:hint="eastAsia"/>
          <w:kern w:val="0"/>
          <w:szCs w:val="21"/>
        </w:rPr>
        <w:t>。</w:t>
      </w:r>
    </w:p>
    <w:p w14:paraId="5C594E57" w14:textId="77777777" w:rsidR="005577A2" w:rsidRDefault="005577A2" w:rsidP="000E2D17">
      <w:pPr>
        <w:adjustRightInd w:val="0"/>
        <w:snapToGrid w:val="0"/>
        <w:spacing w:afterLines="50" w:after="156" w:line="300" w:lineRule="auto"/>
        <w:jc w:val="center"/>
        <w:rPr>
          <w:rFonts w:ascii="Times New Roman" w:eastAsia="宋体"/>
        </w:rPr>
      </w:pPr>
      <w:r>
        <w:rPr>
          <w:rFonts w:ascii="Times New Roman" w:eastAsia="宋体" w:hint="eastAsia"/>
        </w:rPr>
        <w:lastRenderedPageBreak/>
        <w:t>表</w:t>
      </w:r>
      <w:r w:rsidR="000E2D17">
        <w:rPr>
          <w:rFonts w:ascii="Times New Roman" w:eastAsia="宋体" w:hint="eastAsia"/>
        </w:rPr>
        <w:t>4</w:t>
      </w:r>
      <w:r>
        <w:rPr>
          <w:rFonts w:ascii="Times New Roman" w:eastAsia="宋体" w:hint="eastAsia"/>
        </w:rPr>
        <w:t>不同分子量腐植酸对玉米生长的影响</w:t>
      </w:r>
    </w:p>
    <w:tbl>
      <w:tblPr>
        <w:tblStyle w:val="af"/>
        <w:tblW w:w="4998" w:type="pct"/>
        <w:tblLook w:val="04A0" w:firstRow="1" w:lastRow="0" w:firstColumn="1" w:lastColumn="0" w:noHBand="0" w:noVBand="1"/>
      </w:tblPr>
      <w:tblGrid>
        <w:gridCol w:w="2129"/>
        <w:gridCol w:w="2130"/>
        <w:gridCol w:w="2130"/>
        <w:gridCol w:w="2130"/>
      </w:tblGrid>
      <w:tr w:rsidR="005577A2" w14:paraId="67CFFC2C" w14:textId="77777777" w:rsidTr="00E616C0">
        <w:tc>
          <w:tcPr>
            <w:tcW w:w="1249" w:type="pct"/>
            <w:vAlign w:val="bottom"/>
          </w:tcPr>
          <w:p w14:paraId="691F52EB" w14:textId="77777777" w:rsidR="005577A2" w:rsidRDefault="005577A2" w:rsidP="00E616C0">
            <w:pPr>
              <w:widowControl/>
              <w:jc w:val="center"/>
              <w:textAlignment w:val="bottom"/>
              <w:rPr>
                <w:rFonts w:ascii="Times New Roman" w:hAnsi="Times New Roman" w:cs="Times New Roman"/>
                <w:kern w:val="0"/>
                <w:szCs w:val="21"/>
              </w:rPr>
            </w:pPr>
            <w:r>
              <w:rPr>
                <w:rFonts w:ascii="Times New Roman" w:hAnsi="Times New Roman" w:cs="Times New Roman" w:hint="eastAsia"/>
                <w:kern w:val="0"/>
                <w:szCs w:val="21"/>
              </w:rPr>
              <w:t>处理号</w:t>
            </w:r>
          </w:p>
        </w:tc>
        <w:tc>
          <w:tcPr>
            <w:tcW w:w="1250" w:type="pct"/>
            <w:vAlign w:val="bottom"/>
          </w:tcPr>
          <w:p w14:paraId="71BCF01D" w14:textId="77777777" w:rsidR="005577A2" w:rsidRDefault="005577A2" w:rsidP="00E616C0">
            <w:pPr>
              <w:widowControl/>
              <w:jc w:val="center"/>
              <w:textAlignment w:val="bottom"/>
              <w:rPr>
                <w:rFonts w:ascii="Times New Roman" w:eastAsia="宋体" w:hAnsi="Times New Roman" w:cs="Times New Roman"/>
                <w:kern w:val="0"/>
                <w:szCs w:val="21"/>
              </w:rPr>
            </w:pPr>
            <w:r>
              <w:rPr>
                <w:rFonts w:ascii="Times New Roman" w:eastAsia="宋体" w:hAnsi="Times New Roman" w:hint="eastAsia"/>
              </w:rPr>
              <w:t>根鲜重（</w:t>
            </w:r>
            <w:r>
              <w:rPr>
                <w:rFonts w:ascii="Times New Roman" w:eastAsia="宋体" w:hAnsi="Times New Roman" w:hint="eastAsia"/>
              </w:rPr>
              <w:t>g/</w:t>
            </w:r>
            <w:r>
              <w:rPr>
                <w:rFonts w:ascii="Times New Roman" w:eastAsia="宋体" w:hAnsi="Times New Roman" w:hint="eastAsia"/>
              </w:rPr>
              <w:t>株）</w:t>
            </w:r>
          </w:p>
        </w:tc>
        <w:tc>
          <w:tcPr>
            <w:tcW w:w="1250" w:type="pct"/>
            <w:vAlign w:val="bottom"/>
          </w:tcPr>
          <w:p w14:paraId="78547434" w14:textId="77777777" w:rsidR="005577A2" w:rsidRDefault="005577A2" w:rsidP="00E616C0">
            <w:pPr>
              <w:widowControl/>
              <w:jc w:val="center"/>
              <w:textAlignment w:val="bottom"/>
              <w:rPr>
                <w:rFonts w:ascii="Times New Roman" w:eastAsia="宋体" w:hAnsi="Times New Roman" w:cs="Times New Roman"/>
                <w:kern w:val="0"/>
                <w:szCs w:val="21"/>
              </w:rPr>
            </w:pPr>
            <w:r>
              <w:rPr>
                <w:rFonts w:ascii="Times New Roman" w:eastAsia="宋体" w:hAnsi="Times New Roman" w:hint="eastAsia"/>
              </w:rPr>
              <w:t>根干重（</w:t>
            </w:r>
            <w:r>
              <w:rPr>
                <w:rFonts w:ascii="Times New Roman" w:eastAsia="宋体" w:hAnsi="Times New Roman" w:hint="eastAsia"/>
              </w:rPr>
              <w:t>g/</w:t>
            </w:r>
            <w:r>
              <w:rPr>
                <w:rFonts w:ascii="Times New Roman" w:eastAsia="宋体" w:hAnsi="Times New Roman" w:hint="eastAsia"/>
              </w:rPr>
              <w:t>株）</w:t>
            </w:r>
          </w:p>
        </w:tc>
        <w:tc>
          <w:tcPr>
            <w:tcW w:w="1250" w:type="pct"/>
            <w:vAlign w:val="bottom"/>
          </w:tcPr>
          <w:p w14:paraId="5AFAEFD7" w14:textId="77777777" w:rsidR="005577A2" w:rsidRDefault="005577A2" w:rsidP="00E616C0">
            <w:pPr>
              <w:widowControl/>
              <w:jc w:val="center"/>
              <w:textAlignment w:val="bottom"/>
              <w:rPr>
                <w:rFonts w:ascii="Times New Roman" w:eastAsia="宋体" w:hAnsi="Times New Roman" w:cs="Times New Roman"/>
                <w:kern w:val="0"/>
                <w:szCs w:val="21"/>
              </w:rPr>
            </w:pPr>
            <w:r>
              <w:rPr>
                <w:rFonts w:ascii="Times New Roman" w:eastAsia="宋体" w:hAnsi="Times New Roman" w:hint="eastAsia"/>
              </w:rPr>
              <w:t>根冠比</w:t>
            </w:r>
          </w:p>
        </w:tc>
      </w:tr>
      <w:tr w:rsidR="005577A2" w14:paraId="5F45A60A" w14:textId="77777777" w:rsidTr="00E616C0">
        <w:tc>
          <w:tcPr>
            <w:tcW w:w="1249" w:type="pct"/>
            <w:vAlign w:val="bottom"/>
          </w:tcPr>
          <w:p w14:paraId="310A017F"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HA</w:t>
            </w:r>
            <w:r>
              <w:rPr>
                <w:rFonts w:ascii="Times New Roman" w:hAnsi="Times New Roman"/>
                <w:kern w:val="0"/>
                <w:sz w:val="18"/>
                <w:szCs w:val="18"/>
                <w:vertAlign w:val="subscript"/>
              </w:rPr>
              <w:t>H</w:t>
            </w:r>
          </w:p>
        </w:tc>
        <w:tc>
          <w:tcPr>
            <w:tcW w:w="1250" w:type="pct"/>
            <w:vAlign w:val="bottom"/>
          </w:tcPr>
          <w:p w14:paraId="67E832FC"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 xml:space="preserve">5.41±0.36 </w:t>
            </w:r>
          </w:p>
        </w:tc>
        <w:tc>
          <w:tcPr>
            <w:tcW w:w="1250" w:type="pct"/>
            <w:vAlign w:val="bottom"/>
          </w:tcPr>
          <w:p w14:paraId="51F8E32F"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 xml:space="preserve">0.31±0.02 </w:t>
            </w:r>
          </w:p>
        </w:tc>
        <w:tc>
          <w:tcPr>
            <w:tcW w:w="1250" w:type="pct"/>
            <w:vAlign w:val="bottom"/>
          </w:tcPr>
          <w:p w14:paraId="543062A8"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 xml:space="preserve">0.22±0.01 </w:t>
            </w:r>
          </w:p>
        </w:tc>
      </w:tr>
      <w:tr w:rsidR="005577A2" w14:paraId="2D17B000" w14:textId="77777777" w:rsidTr="00E616C0">
        <w:tc>
          <w:tcPr>
            <w:tcW w:w="1249" w:type="pct"/>
            <w:vAlign w:val="bottom"/>
          </w:tcPr>
          <w:p w14:paraId="0DFFB3C3"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HA</w:t>
            </w:r>
            <w:r>
              <w:rPr>
                <w:rFonts w:ascii="Times New Roman" w:hAnsi="Times New Roman"/>
                <w:kern w:val="0"/>
                <w:sz w:val="18"/>
                <w:szCs w:val="18"/>
                <w:vertAlign w:val="subscript"/>
              </w:rPr>
              <w:t>M</w:t>
            </w:r>
          </w:p>
        </w:tc>
        <w:tc>
          <w:tcPr>
            <w:tcW w:w="1250" w:type="pct"/>
            <w:vAlign w:val="bottom"/>
          </w:tcPr>
          <w:p w14:paraId="25A0096C"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 xml:space="preserve">8.16±0.28 </w:t>
            </w:r>
          </w:p>
        </w:tc>
        <w:tc>
          <w:tcPr>
            <w:tcW w:w="1250" w:type="pct"/>
            <w:vAlign w:val="bottom"/>
          </w:tcPr>
          <w:p w14:paraId="079635F3"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 xml:space="preserve">0.53±0.02 </w:t>
            </w:r>
          </w:p>
        </w:tc>
        <w:tc>
          <w:tcPr>
            <w:tcW w:w="1250" w:type="pct"/>
            <w:vAlign w:val="bottom"/>
          </w:tcPr>
          <w:p w14:paraId="28A06A38"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 xml:space="preserve">0.27±0.02 </w:t>
            </w:r>
          </w:p>
        </w:tc>
      </w:tr>
      <w:tr w:rsidR="005577A2" w14:paraId="07DE2CE1" w14:textId="77777777" w:rsidTr="00E616C0">
        <w:tc>
          <w:tcPr>
            <w:tcW w:w="1249" w:type="pct"/>
            <w:vAlign w:val="bottom"/>
          </w:tcPr>
          <w:p w14:paraId="00C7B8AF"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HA</w:t>
            </w:r>
            <w:r>
              <w:rPr>
                <w:rFonts w:ascii="Times New Roman" w:hAnsi="Times New Roman"/>
                <w:kern w:val="0"/>
                <w:sz w:val="18"/>
                <w:szCs w:val="18"/>
                <w:vertAlign w:val="subscript"/>
              </w:rPr>
              <w:t>L</w:t>
            </w:r>
          </w:p>
        </w:tc>
        <w:tc>
          <w:tcPr>
            <w:tcW w:w="1250" w:type="pct"/>
            <w:vAlign w:val="bottom"/>
          </w:tcPr>
          <w:p w14:paraId="0904CC66"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 xml:space="preserve">9.13±0.24 </w:t>
            </w:r>
          </w:p>
        </w:tc>
        <w:tc>
          <w:tcPr>
            <w:tcW w:w="1250" w:type="pct"/>
            <w:vAlign w:val="bottom"/>
          </w:tcPr>
          <w:p w14:paraId="182208B9"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 xml:space="preserve">0.62±0.05 </w:t>
            </w:r>
          </w:p>
        </w:tc>
        <w:tc>
          <w:tcPr>
            <w:tcW w:w="1250" w:type="pct"/>
            <w:vAlign w:val="bottom"/>
          </w:tcPr>
          <w:p w14:paraId="6CB571DD" w14:textId="77777777" w:rsidR="005577A2" w:rsidRDefault="005577A2" w:rsidP="00E616C0">
            <w:pPr>
              <w:widowControl/>
              <w:jc w:val="center"/>
              <w:rPr>
                <w:rFonts w:ascii="Times New Roman" w:eastAsia="宋体" w:hAnsi="Times New Roman" w:cs="Times New Roman"/>
                <w:kern w:val="0"/>
                <w:szCs w:val="21"/>
              </w:rPr>
            </w:pPr>
            <w:r>
              <w:rPr>
                <w:rFonts w:ascii="Times New Roman" w:hAnsi="Times New Roman"/>
                <w:kern w:val="0"/>
                <w:sz w:val="18"/>
                <w:szCs w:val="18"/>
              </w:rPr>
              <w:t xml:space="preserve">0.26±0.01 </w:t>
            </w:r>
          </w:p>
        </w:tc>
      </w:tr>
    </w:tbl>
    <w:p w14:paraId="716C59B9" w14:textId="77777777" w:rsidR="005577A2" w:rsidRDefault="00CF0E20" w:rsidP="005577A2">
      <w:pPr>
        <w:spacing w:line="360" w:lineRule="exact"/>
        <w:ind w:firstLine="420"/>
        <w:rPr>
          <w:rFonts w:ascii="Times New Roman" w:eastAsia="宋体" w:hAnsi="Times New Roman"/>
          <w:szCs w:val="24"/>
        </w:rPr>
      </w:pPr>
      <w:r>
        <w:rPr>
          <w:rFonts w:ascii="Times New Roman" w:hAnsi="Times New Roman" w:hint="eastAsia"/>
        </w:rPr>
        <w:t>进一步选用不同分子量</w:t>
      </w:r>
      <w:r w:rsidR="005577A2">
        <w:rPr>
          <w:rFonts w:ascii="Times New Roman" w:hAnsi="Times New Roman" w:hint="eastAsia"/>
        </w:rPr>
        <w:t>腐植酸进行了水培试验</w:t>
      </w:r>
      <w:r w:rsidR="000E2D17">
        <w:rPr>
          <w:rFonts w:ascii="Times New Roman" w:hAnsi="Times New Roman" w:hint="eastAsia"/>
        </w:rPr>
        <w:t>（图</w:t>
      </w:r>
      <w:r w:rsidR="000E2D17">
        <w:rPr>
          <w:rFonts w:ascii="Times New Roman" w:hAnsi="Times New Roman" w:hint="eastAsia"/>
        </w:rPr>
        <w:t>6</w:t>
      </w:r>
      <w:r w:rsidR="000E2D17">
        <w:rPr>
          <w:rFonts w:ascii="Times New Roman" w:hAnsi="Times New Roman" w:hint="eastAsia"/>
        </w:rPr>
        <w:t>）</w:t>
      </w:r>
      <w:r w:rsidR="005577A2">
        <w:rPr>
          <w:rFonts w:ascii="Times New Roman" w:hAnsi="Times New Roman" w:hint="eastAsia"/>
        </w:rPr>
        <w:t>，结果表明，</w:t>
      </w:r>
      <w:r w:rsidR="005577A2">
        <w:rPr>
          <w:rFonts w:ascii="Times New Roman" w:eastAsia="宋体" w:hAnsi="Times New Roman"/>
          <w:szCs w:val="24"/>
        </w:rPr>
        <w:t>不同分子量腐植酸处理能够增加玉米根系的干重。与对照相比，</w:t>
      </w:r>
      <w:r w:rsidR="005577A2">
        <w:rPr>
          <w:rFonts w:ascii="Times New Roman" w:eastAsia="宋体" w:hAnsi="Times New Roman"/>
          <w:szCs w:val="24"/>
        </w:rPr>
        <w:t>HA</w:t>
      </w:r>
      <w:r w:rsidR="005577A2">
        <w:rPr>
          <w:rFonts w:ascii="Times New Roman" w:eastAsia="宋体" w:hAnsi="Times New Roman"/>
          <w:szCs w:val="24"/>
          <w:vertAlign w:val="subscript"/>
        </w:rPr>
        <w:t>H</w:t>
      </w:r>
      <w:r w:rsidR="005577A2">
        <w:rPr>
          <w:rFonts w:ascii="Times New Roman" w:eastAsia="宋体" w:hAnsi="Times New Roman"/>
          <w:szCs w:val="24"/>
        </w:rPr>
        <w:t>、</w:t>
      </w:r>
      <w:r w:rsidR="005577A2">
        <w:rPr>
          <w:rFonts w:ascii="Times New Roman" w:eastAsia="宋体" w:hAnsi="Times New Roman"/>
          <w:szCs w:val="24"/>
        </w:rPr>
        <w:t>HA</w:t>
      </w:r>
      <w:r w:rsidR="005577A2">
        <w:rPr>
          <w:rFonts w:ascii="Times New Roman" w:eastAsia="宋体" w:hAnsi="Times New Roman"/>
          <w:szCs w:val="24"/>
          <w:vertAlign w:val="subscript"/>
        </w:rPr>
        <w:t>M</w:t>
      </w:r>
      <w:r w:rsidR="005577A2">
        <w:rPr>
          <w:rFonts w:ascii="Times New Roman" w:eastAsia="宋体" w:hAnsi="Times New Roman"/>
          <w:szCs w:val="24"/>
        </w:rPr>
        <w:t>、</w:t>
      </w:r>
      <w:r w:rsidR="005577A2">
        <w:rPr>
          <w:rFonts w:ascii="Times New Roman" w:eastAsia="宋体" w:hAnsi="Times New Roman"/>
          <w:szCs w:val="24"/>
        </w:rPr>
        <w:t>HA</w:t>
      </w:r>
      <w:r w:rsidR="005577A2">
        <w:rPr>
          <w:rFonts w:ascii="Times New Roman" w:eastAsia="宋体" w:hAnsi="Times New Roman"/>
          <w:szCs w:val="24"/>
          <w:vertAlign w:val="subscript"/>
        </w:rPr>
        <w:t>L</w:t>
      </w:r>
      <w:r w:rsidR="005577A2">
        <w:rPr>
          <w:rFonts w:ascii="Times New Roman" w:eastAsia="宋体" w:hAnsi="Times New Roman"/>
          <w:szCs w:val="24"/>
        </w:rPr>
        <w:t>、</w:t>
      </w:r>
      <w:r w:rsidR="005577A2">
        <w:rPr>
          <w:rFonts w:ascii="Times New Roman" w:eastAsia="宋体" w:hAnsi="Times New Roman"/>
          <w:szCs w:val="24"/>
        </w:rPr>
        <w:t>OHA3</w:t>
      </w:r>
      <w:r w:rsidR="005577A2">
        <w:rPr>
          <w:rFonts w:ascii="Times New Roman" w:eastAsia="宋体" w:hAnsi="Times New Roman"/>
          <w:szCs w:val="24"/>
          <w:vertAlign w:val="subscript"/>
        </w:rPr>
        <w:t>H</w:t>
      </w:r>
      <w:r w:rsidR="005577A2">
        <w:rPr>
          <w:rFonts w:ascii="Times New Roman" w:eastAsia="宋体" w:hAnsi="Times New Roman"/>
          <w:szCs w:val="24"/>
        </w:rPr>
        <w:t>、</w:t>
      </w:r>
      <w:r w:rsidR="005577A2">
        <w:rPr>
          <w:rFonts w:ascii="Times New Roman" w:eastAsia="宋体" w:hAnsi="Times New Roman"/>
          <w:szCs w:val="24"/>
        </w:rPr>
        <w:t>OHA3</w:t>
      </w:r>
      <w:r w:rsidR="005577A2">
        <w:rPr>
          <w:rFonts w:ascii="Times New Roman" w:eastAsia="宋体" w:hAnsi="Times New Roman"/>
          <w:szCs w:val="24"/>
          <w:vertAlign w:val="subscript"/>
        </w:rPr>
        <w:t>M</w:t>
      </w:r>
      <w:r w:rsidR="005577A2">
        <w:rPr>
          <w:rFonts w:ascii="Times New Roman" w:eastAsia="宋体" w:hAnsi="Times New Roman"/>
          <w:szCs w:val="24"/>
        </w:rPr>
        <w:t>、</w:t>
      </w:r>
      <w:r w:rsidR="005577A2">
        <w:rPr>
          <w:rFonts w:ascii="Times New Roman" w:eastAsia="宋体" w:hAnsi="Times New Roman"/>
          <w:szCs w:val="24"/>
        </w:rPr>
        <w:t>OHA3</w:t>
      </w:r>
      <w:r w:rsidR="005577A2">
        <w:rPr>
          <w:rFonts w:ascii="Times New Roman" w:eastAsia="宋体" w:hAnsi="Times New Roman"/>
          <w:szCs w:val="24"/>
          <w:vertAlign w:val="subscript"/>
        </w:rPr>
        <w:t>L</w:t>
      </w:r>
      <w:r w:rsidR="005577A2">
        <w:rPr>
          <w:rFonts w:ascii="Times New Roman" w:eastAsia="宋体" w:hAnsi="Times New Roman"/>
          <w:szCs w:val="24"/>
        </w:rPr>
        <w:t>、</w:t>
      </w:r>
      <w:r w:rsidR="005577A2">
        <w:rPr>
          <w:rFonts w:ascii="Times New Roman" w:eastAsia="宋体" w:hAnsi="Times New Roman"/>
          <w:szCs w:val="24"/>
        </w:rPr>
        <w:t>OHA6</w:t>
      </w:r>
      <w:r w:rsidR="005577A2">
        <w:rPr>
          <w:rFonts w:ascii="Times New Roman" w:eastAsia="宋体" w:hAnsi="Times New Roman"/>
          <w:szCs w:val="24"/>
          <w:vertAlign w:val="subscript"/>
        </w:rPr>
        <w:t>H</w:t>
      </w:r>
      <w:r w:rsidR="005577A2">
        <w:rPr>
          <w:rFonts w:ascii="Times New Roman" w:eastAsia="宋体" w:hAnsi="Times New Roman"/>
          <w:szCs w:val="24"/>
        </w:rPr>
        <w:t>、</w:t>
      </w:r>
      <w:r w:rsidR="005577A2">
        <w:rPr>
          <w:rFonts w:ascii="Times New Roman" w:eastAsia="宋体" w:hAnsi="Times New Roman"/>
          <w:szCs w:val="24"/>
        </w:rPr>
        <w:t>OHA6</w:t>
      </w:r>
      <w:r w:rsidR="005577A2">
        <w:rPr>
          <w:rFonts w:ascii="Times New Roman" w:eastAsia="宋体" w:hAnsi="Times New Roman"/>
          <w:szCs w:val="24"/>
          <w:vertAlign w:val="subscript"/>
        </w:rPr>
        <w:t>M</w:t>
      </w:r>
      <w:r w:rsidR="005577A2">
        <w:rPr>
          <w:rFonts w:ascii="Times New Roman" w:eastAsia="宋体" w:hAnsi="Times New Roman"/>
          <w:szCs w:val="24"/>
        </w:rPr>
        <w:t>和</w:t>
      </w:r>
      <w:r w:rsidR="005577A2">
        <w:rPr>
          <w:rFonts w:ascii="Times New Roman" w:eastAsia="宋体" w:hAnsi="Times New Roman"/>
          <w:szCs w:val="24"/>
        </w:rPr>
        <w:t>OHA6</w:t>
      </w:r>
      <w:r w:rsidR="005577A2">
        <w:rPr>
          <w:rFonts w:ascii="Times New Roman" w:eastAsia="宋体" w:hAnsi="Times New Roman"/>
          <w:szCs w:val="24"/>
          <w:vertAlign w:val="subscript"/>
        </w:rPr>
        <w:t>L</w:t>
      </w:r>
      <w:r w:rsidR="005577A2">
        <w:rPr>
          <w:rFonts w:ascii="Times New Roman" w:eastAsia="宋体" w:hAnsi="Times New Roman"/>
          <w:szCs w:val="24"/>
        </w:rPr>
        <w:t>的根干重分别提高</w:t>
      </w:r>
      <w:bookmarkStart w:id="7" w:name="_Hlk3305159"/>
      <w:r w:rsidR="005577A2">
        <w:rPr>
          <w:rFonts w:ascii="Times New Roman" w:eastAsia="宋体" w:hAnsi="Times New Roman"/>
          <w:szCs w:val="24"/>
        </w:rPr>
        <w:t>20.92%</w:t>
      </w:r>
      <w:bookmarkEnd w:id="7"/>
      <w:r w:rsidR="005577A2">
        <w:rPr>
          <w:rFonts w:ascii="Times New Roman" w:eastAsia="宋体" w:hAnsi="Times New Roman"/>
          <w:szCs w:val="24"/>
        </w:rPr>
        <w:t>、</w:t>
      </w:r>
      <w:r w:rsidR="005577A2">
        <w:rPr>
          <w:rFonts w:ascii="Times New Roman" w:eastAsia="宋体" w:hAnsi="Times New Roman"/>
          <w:szCs w:val="24"/>
        </w:rPr>
        <w:t>109.15%</w:t>
      </w:r>
      <w:r w:rsidR="005577A2">
        <w:rPr>
          <w:rFonts w:ascii="Times New Roman" w:eastAsia="宋体" w:hAnsi="Times New Roman"/>
          <w:szCs w:val="24"/>
        </w:rPr>
        <w:t>、</w:t>
      </w:r>
      <w:r w:rsidR="005577A2">
        <w:rPr>
          <w:rFonts w:ascii="Times New Roman" w:eastAsia="宋体" w:hAnsi="Times New Roman"/>
          <w:szCs w:val="24"/>
        </w:rPr>
        <w:t>143.14%</w:t>
      </w:r>
      <w:r w:rsidR="005577A2">
        <w:rPr>
          <w:rFonts w:ascii="Times New Roman" w:eastAsia="宋体" w:hAnsi="Times New Roman"/>
          <w:szCs w:val="24"/>
        </w:rPr>
        <w:t>、</w:t>
      </w:r>
      <w:r w:rsidR="005577A2">
        <w:rPr>
          <w:rFonts w:ascii="Times New Roman" w:eastAsia="宋体" w:hAnsi="Times New Roman"/>
          <w:szCs w:val="24"/>
        </w:rPr>
        <w:t>21.57%</w:t>
      </w:r>
      <w:r w:rsidR="005577A2">
        <w:rPr>
          <w:rFonts w:ascii="Times New Roman" w:eastAsia="宋体" w:hAnsi="Times New Roman"/>
          <w:szCs w:val="24"/>
        </w:rPr>
        <w:t>、</w:t>
      </w:r>
      <w:bookmarkStart w:id="8" w:name="_Hlk3305091"/>
      <w:r w:rsidR="005577A2">
        <w:rPr>
          <w:rFonts w:ascii="Times New Roman" w:eastAsia="宋体" w:hAnsi="Times New Roman"/>
          <w:szCs w:val="24"/>
        </w:rPr>
        <w:t>96.73%</w:t>
      </w:r>
      <w:bookmarkEnd w:id="8"/>
      <w:r w:rsidR="005577A2">
        <w:rPr>
          <w:rFonts w:ascii="Times New Roman" w:eastAsia="宋体" w:hAnsi="Times New Roman"/>
          <w:szCs w:val="24"/>
        </w:rPr>
        <w:t>、</w:t>
      </w:r>
      <w:bookmarkStart w:id="9" w:name="_Hlk3305071"/>
      <w:r w:rsidR="005577A2">
        <w:rPr>
          <w:rFonts w:ascii="Times New Roman" w:eastAsia="宋体" w:hAnsi="Times New Roman"/>
          <w:szCs w:val="24"/>
        </w:rPr>
        <w:t>130.72%</w:t>
      </w:r>
      <w:bookmarkEnd w:id="9"/>
      <w:r w:rsidR="005577A2">
        <w:rPr>
          <w:rFonts w:ascii="Times New Roman" w:eastAsia="宋体" w:hAnsi="Times New Roman"/>
          <w:szCs w:val="24"/>
        </w:rPr>
        <w:t>、</w:t>
      </w:r>
      <w:bookmarkStart w:id="10" w:name="_Hlk3305168"/>
      <w:r w:rsidR="005577A2">
        <w:rPr>
          <w:rFonts w:ascii="Times New Roman" w:eastAsia="宋体" w:hAnsi="Times New Roman"/>
          <w:szCs w:val="24"/>
        </w:rPr>
        <w:t>29.41%</w:t>
      </w:r>
      <w:bookmarkEnd w:id="10"/>
      <w:r w:rsidR="005577A2">
        <w:rPr>
          <w:rFonts w:ascii="Times New Roman" w:eastAsia="宋体" w:hAnsi="Times New Roman"/>
          <w:szCs w:val="24"/>
        </w:rPr>
        <w:t>、</w:t>
      </w:r>
      <w:bookmarkStart w:id="11" w:name="_Hlk3305103"/>
      <w:r w:rsidR="005577A2">
        <w:rPr>
          <w:rFonts w:ascii="Times New Roman" w:eastAsia="宋体" w:hAnsi="Times New Roman"/>
          <w:szCs w:val="24"/>
        </w:rPr>
        <w:t>125.49%</w:t>
      </w:r>
      <w:bookmarkEnd w:id="11"/>
      <w:r w:rsidR="005577A2">
        <w:rPr>
          <w:rFonts w:ascii="Times New Roman" w:eastAsia="宋体" w:hAnsi="Times New Roman"/>
          <w:szCs w:val="24"/>
        </w:rPr>
        <w:t>和</w:t>
      </w:r>
      <w:bookmarkStart w:id="12" w:name="_Hlk3305079"/>
      <w:r w:rsidR="005577A2">
        <w:rPr>
          <w:rFonts w:ascii="Times New Roman" w:eastAsia="宋体" w:hAnsi="Times New Roman"/>
          <w:szCs w:val="24"/>
        </w:rPr>
        <w:t>157.52%</w:t>
      </w:r>
      <w:bookmarkEnd w:id="12"/>
      <w:r w:rsidR="005577A2">
        <w:rPr>
          <w:rFonts w:ascii="Times New Roman" w:eastAsia="宋体" w:hAnsi="Times New Roman"/>
          <w:szCs w:val="24"/>
        </w:rPr>
        <w:t>。同一腐植酸的不同超滤级分对玉米根系的增重大小幅度依次为小分子量腐植酸超滤级分</w:t>
      </w:r>
      <w:r w:rsidR="005577A2">
        <w:rPr>
          <w:rFonts w:ascii="Times New Roman" w:eastAsia="宋体" w:hAnsi="Times New Roman"/>
          <w:szCs w:val="24"/>
        </w:rPr>
        <w:t>&gt;</w:t>
      </w:r>
      <w:r w:rsidR="005577A2">
        <w:rPr>
          <w:rFonts w:ascii="Times New Roman" w:eastAsia="宋体" w:hAnsi="Times New Roman"/>
          <w:szCs w:val="24"/>
        </w:rPr>
        <w:t>中分子量超滤级分</w:t>
      </w:r>
      <w:r w:rsidR="005577A2">
        <w:rPr>
          <w:rFonts w:ascii="Times New Roman" w:eastAsia="宋体" w:hAnsi="Times New Roman"/>
          <w:szCs w:val="24"/>
        </w:rPr>
        <w:t>&gt;</w:t>
      </w:r>
      <w:r w:rsidR="005577A2">
        <w:rPr>
          <w:rFonts w:ascii="Times New Roman" w:eastAsia="宋体" w:hAnsi="Times New Roman"/>
          <w:szCs w:val="24"/>
        </w:rPr>
        <w:t>大分子量超滤级分处理。</w:t>
      </w:r>
    </w:p>
    <w:p w14:paraId="64BB11EE" w14:textId="77777777" w:rsidR="005577A2" w:rsidRDefault="005577A2" w:rsidP="005577A2">
      <w:pPr>
        <w:adjustRightInd w:val="0"/>
        <w:snapToGrid w:val="0"/>
        <w:spacing w:afterLines="50" w:after="156" w:line="300" w:lineRule="auto"/>
        <w:ind w:firstLineChars="200" w:firstLine="420"/>
        <w:jc w:val="left"/>
        <w:rPr>
          <w:rFonts w:ascii="Times New Roman" w:hAnsi="Times New Roman" w:cs="Times New Roman"/>
          <w:kern w:val="0"/>
          <w:szCs w:val="21"/>
        </w:rPr>
      </w:pPr>
      <w:r>
        <w:rPr>
          <w:rFonts w:ascii="Times New Roman" w:hAnsi="Times New Roman"/>
          <w:noProof/>
        </w:rPr>
        <w:drawing>
          <wp:anchor distT="0" distB="0" distL="114935" distR="114935" simplePos="0" relativeHeight="251862016" behindDoc="0" locked="0" layoutInCell="1" allowOverlap="1" wp14:anchorId="3F6DEBD9" wp14:editId="76FDC336">
            <wp:simplePos x="0" y="0"/>
            <wp:positionH relativeFrom="column">
              <wp:posOffset>856615</wp:posOffset>
            </wp:positionH>
            <wp:positionV relativeFrom="paragraph">
              <wp:posOffset>14605</wp:posOffset>
            </wp:positionV>
            <wp:extent cx="3221990" cy="1734820"/>
            <wp:effectExtent l="0" t="0" r="3810" b="5080"/>
            <wp:wrapNone/>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3"/>
                    <a:stretch>
                      <a:fillRect/>
                    </a:stretch>
                  </pic:blipFill>
                  <pic:spPr>
                    <a:xfrm>
                      <a:off x="0" y="0"/>
                      <a:ext cx="3221990" cy="1734820"/>
                    </a:xfrm>
                    <a:prstGeom prst="rect">
                      <a:avLst/>
                    </a:prstGeom>
                    <a:noFill/>
                    <a:ln>
                      <a:noFill/>
                    </a:ln>
                  </pic:spPr>
                </pic:pic>
              </a:graphicData>
            </a:graphic>
          </wp:anchor>
        </w:drawing>
      </w:r>
    </w:p>
    <w:p w14:paraId="77ABBDE3"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12A092EC"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3531191D"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379D3BE9"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p>
    <w:p w14:paraId="26103356" w14:textId="77777777" w:rsidR="005577A2" w:rsidRDefault="005577A2" w:rsidP="005577A2">
      <w:pPr>
        <w:pStyle w:val="af3"/>
        <w:spacing w:before="156" w:after="156"/>
        <w:ind w:leftChars="0" w:left="0"/>
        <w:jc w:val="both"/>
      </w:pPr>
    </w:p>
    <w:p w14:paraId="568E2DFA" w14:textId="77777777" w:rsidR="005577A2" w:rsidRDefault="005577A2" w:rsidP="005577A2">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图</w:t>
      </w:r>
      <w:r>
        <w:rPr>
          <w:rFonts w:ascii="Times New Roman" w:eastAsia="宋体" w:hAnsi="Times New Roman" w:cs="Times New Roman" w:hint="eastAsia"/>
          <w:kern w:val="0"/>
          <w:szCs w:val="21"/>
        </w:rPr>
        <w:t xml:space="preserve">6 </w:t>
      </w:r>
      <w:r>
        <w:rPr>
          <w:rFonts w:ascii="Times New Roman" w:eastAsia="宋体" w:hAnsi="Times New Roman" w:cs="Times New Roman" w:hint="eastAsia"/>
          <w:kern w:val="0"/>
          <w:szCs w:val="21"/>
        </w:rPr>
        <w:t>不同分子量腐植酸对玉米根</w:t>
      </w:r>
      <w:r w:rsidR="00CF0E20">
        <w:rPr>
          <w:rFonts w:ascii="Times New Roman" w:eastAsia="宋体" w:hAnsi="Times New Roman" w:cs="Times New Roman" w:hint="eastAsia"/>
          <w:kern w:val="0"/>
          <w:szCs w:val="21"/>
        </w:rPr>
        <w:t>干</w:t>
      </w:r>
      <w:r>
        <w:rPr>
          <w:rFonts w:ascii="Times New Roman" w:eastAsia="宋体" w:hAnsi="Times New Roman" w:cs="Times New Roman" w:hint="eastAsia"/>
          <w:kern w:val="0"/>
          <w:szCs w:val="21"/>
        </w:rPr>
        <w:t>重的影响</w:t>
      </w:r>
    </w:p>
    <w:p w14:paraId="2786B174" w14:textId="77777777" w:rsidR="005577A2" w:rsidRDefault="005577A2" w:rsidP="005577A2">
      <w:pPr>
        <w:adjustRightInd w:val="0"/>
        <w:snapToGrid w:val="0"/>
        <w:spacing w:afterLines="50" w:after="156" w:line="300" w:lineRule="auto"/>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sidR="000E2D17">
        <w:rPr>
          <w:rFonts w:ascii="Times New Roman" w:eastAsia="宋体" w:hAnsi="Times New Roman" w:cs="Times New Roman" w:hint="eastAsia"/>
          <w:kern w:val="0"/>
          <w:szCs w:val="21"/>
        </w:rPr>
        <w:t>2.3</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腐植酸的结构性与作物生长的关系</w:t>
      </w:r>
    </w:p>
    <w:p w14:paraId="75527C9D" w14:textId="77777777" w:rsidR="005577A2" w:rsidRDefault="00325DF9" w:rsidP="005577A2">
      <w:pPr>
        <w:adjustRightInd w:val="0"/>
        <w:snapToGrid w:val="0"/>
        <w:spacing w:afterLines="50" w:after="156" w:line="300" w:lineRule="auto"/>
        <w:ind w:firstLineChars="200" w:firstLine="420"/>
        <w:jc w:val="left"/>
        <w:rPr>
          <w:rFonts w:ascii="Times New Roman" w:eastAsia="宋体" w:hAnsi="Times New Roman"/>
          <w:szCs w:val="21"/>
        </w:rPr>
      </w:pPr>
      <w:bookmarkStart w:id="13" w:name="_Hlk2667986"/>
      <w:r>
        <w:rPr>
          <w:rFonts w:ascii="Times New Roman" w:eastAsia="宋体" w:hAnsi="Times New Roman" w:cs="Times New Roman"/>
          <w:noProof/>
          <w:kern w:val="0"/>
          <w:szCs w:val="21"/>
        </w:rPr>
        <w:drawing>
          <wp:anchor distT="0" distB="0" distL="114300" distR="114300" simplePos="0" relativeHeight="251864064" behindDoc="0" locked="0" layoutInCell="1" allowOverlap="1" wp14:anchorId="0036F797" wp14:editId="57C510D4">
            <wp:simplePos x="0" y="0"/>
            <wp:positionH relativeFrom="column">
              <wp:posOffset>1475105</wp:posOffset>
            </wp:positionH>
            <wp:positionV relativeFrom="paragraph">
              <wp:posOffset>1636395</wp:posOffset>
            </wp:positionV>
            <wp:extent cx="2461825" cy="216535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1825" cy="2165350"/>
                    </a:xfrm>
                    <a:prstGeom prst="rect">
                      <a:avLst/>
                    </a:prstGeom>
                    <a:noFill/>
                  </pic:spPr>
                </pic:pic>
              </a:graphicData>
            </a:graphic>
            <wp14:sizeRelH relativeFrom="page">
              <wp14:pctWidth>0</wp14:pctWidth>
            </wp14:sizeRelH>
            <wp14:sizeRelV relativeFrom="page">
              <wp14:pctHeight>0</wp14:pctHeight>
            </wp14:sizeRelV>
          </wp:anchor>
        </w:drawing>
      </w:r>
      <w:r w:rsidR="005577A2">
        <w:rPr>
          <w:rFonts w:ascii="Times New Roman" w:eastAsia="宋体" w:hAnsi="Times New Roman" w:hint="eastAsia"/>
          <w:szCs w:val="21"/>
        </w:rPr>
        <w:t>将水培玉米与腐植酸测定指标进行冗余分析</w:t>
      </w:r>
      <w:r w:rsidR="00CF0E20">
        <w:rPr>
          <w:rFonts w:ascii="Times New Roman" w:eastAsia="宋体" w:hAnsi="Times New Roman" w:hint="eastAsia"/>
          <w:szCs w:val="21"/>
        </w:rPr>
        <w:t>（图</w:t>
      </w:r>
      <w:r w:rsidR="00CF0E20">
        <w:rPr>
          <w:rFonts w:ascii="Times New Roman" w:eastAsia="宋体" w:hAnsi="Times New Roman" w:hint="eastAsia"/>
          <w:szCs w:val="21"/>
        </w:rPr>
        <w:t>7</w:t>
      </w:r>
      <w:r w:rsidR="00CF0E20">
        <w:rPr>
          <w:rFonts w:ascii="Times New Roman" w:eastAsia="宋体" w:hAnsi="Times New Roman" w:hint="eastAsia"/>
          <w:szCs w:val="21"/>
        </w:rPr>
        <w:t>）</w:t>
      </w:r>
      <w:r w:rsidR="005577A2">
        <w:rPr>
          <w:rFonts w:ascii="Times New Roman" w:eastAsia="宋体" w:hAnsi="Times New Roman" w:hint="eastAsia"/>
          <w:szCs w:val="21"/>
        </w:rPr>
        <w:t>。具体为</w:t>
      </w:r>
      <w:r w:rsidR="005577A2">
        <w:rPr>
          <w:rFonts w:ascii="Times New Roman" w:eastAsia="宋体" w:hAnsi="Times New Roman"/>
          <w:szCs w:val="21"/>
        </w:rPr>
        <w:t>以腐植酸</w:t>
      </w:r>
      <w:bookmarkStart w:id="14" w:name="_Hlk2672484"/>
      <w:r w:rsidR="005577A2">
        <w:rPr>
          <w:rFonts w:ascii="Times New Roman" w:eastAsia="宋体" w:hAnsi="Times New Roman"/>
          <w:szCs w:val="21"/>
        </w:rPr>
        <w:t>元素含量、</w:t>
      </w:r>
      <w:r w:rsidR="005577A2">
        <w:rPr>
          <w:rFonts w:ascii="Times New Roman" w:eastAsia="宋体" w:hAnsi="Times New Roman"/>
          <w:szCs w:val="21"/>
        </w:rPr>
        <w:t>E2/E3</w:t>
      </w:r>
      <w:r w:rsidR="005577A2">
        <w:rPr>
          <w:rFonts w:ascii="Times New Roman" w:eastAsia="宋体" w:hAnsi="Times New Roman"/>
          <w:szCs w:val="21"/>
        </w:rPr>
        <w:t>、</w:t>
      </w:r>
      <w:r w:rsidR="005577A2">
        <w:rPr>
          <w:rFonts w:ascii="Times New Roman" w:eastAsia="宋体" w:hAnsi="Times New Roman"/>
          <w:szCs w:val="21"/>
        </w:rPr>
        <w:t>E4/E6</w:t>
      </w:r>
      <w:r w:rsidR="005577A2">
        <w:rPr>
          <w:rFonts w:ascii="Times New Roman" w:eastAsia="宋体" w:hAnsi="Times New Roman"/>
          <w:szCs w:val="21"/>
        </w:rPr>
        <w:t>值和官能团含量</w:t>
      </w:r>
      <w:bookmarkEnd w:id="14"/>
      <w:r w:rsidR="005577A2">
        <w:rPr>
          <w:rFonts w:ascii="Times New Roman" w:eastAsia="宋体" w:hAnsi="Times New Roman"/>
          <w:szCs w:val="21"/>
        </w:rPr>
        <w:t>为自变量，玉米根鲜重和根干重为因变量进行冗余分析（</w:t>
      </w:r>
      <w:r w:rsidR="005577A2">
        <w:rPr>
          <w:rFonts w:ascii="Times New Roman" w:eastAsia="宋体" w:hAnsi="Times New Roman"/>
          <w:szCs w:val="21"/>
        </w:rPr>
        <w:t>RDA</w:t>
      </w:r>
      <w:r w:rsidR="005577A2">
        <w:rPr>
          <w:rFonts w:ascii="Times New Roman" w:eastAsia="宋体" w:hAnsi="Times New Roman"/>
          <w:szCs w:val="21"/>
        </w:rPr>
        <w:t>）</w:t>
      </w:r>
      <w:r w:rsidR="005577A2">
        <w:rPr>
          <w:rFonts w:ascii="Times New Roman" w:eastAsia="宋体" w:hAnsi="Times New Roman" w:hint="eastAsia"/>
          <w:szCs w:val="21"/>
        </w:rPr>
        <w:t>，</w:t>
      </w:r>
      <w:r w:rsidR="005577A2">
        <w:rPr>
          <w:rFonts w:ascii="Times New Roman" w:eastAsia="宋体" w:hAnsi="Times New Roman"/>
          <w:szCs w:val="21"/>
        </w:rPr>
        <w:t>其结果显示，</w:t>
      </w:r>
      <w:r w:rsidR="005577A2">
        <w:rPr>
          <w:rFonts w:ascii="Times New Roman" w:eastAsia="宋体" w:hAnsi="Times New Roman"/>
          <w:szCs w:val="21"/>
        </w:rPr>
        <w:t>O</w:t>
      </w:r>
      <w:r w:rsidR="005577A2">
        <w:rPr>
          <w:rFonts w:ascii="Times New Roman" w:eastAsia="宋体" w:hAnsi="Times New Roman"/>
          <w:szCs w:val="21"/>
        </w:rPr>
        <w:t>、</w:t>
      </w:r>
      <w:r w:rsidR="005577A2">
        <w:rPr>
          <w:rFonts w:ascii="Times New Roman" w:eastAsia="宋体" w:hAnsi="Times New Roman"/>
          <w:szCs w:val="21"/>
        </w:rPr>
        <w:t>O/C</w:t>
      </w:r>
      <w:r w:rsidR="005577A2">
        <w:rPr>
          <w:rFonts w:ascii="Times New Roman" w:eastAsia="宋体" w:hAnsi="Times New Roman"/>
          <w:szCs w:val="21"/>
        </w:rPr>
        <w:t>、</w:t>
      </w:r>
      <w:r w:rsidR="005577A2">
        <w:rPr>
          <w:rFonts w:ascii="Times New Roman" w:eastAsia="宋体" w:hAnsi="Times New Roman"/>
          <w:szCs w:val="21"/>
        </w:rPr>
        <w:t>C</w:t>
      </w:r>
      <w:r w:rsidR="005577A2">
        <w:rPr>
          <w:rFonts w:ascii="Times New Roman" w:eastAsia="宋体" w:hAnsi="Times New Roman"/>
          <w:szCs w:val="21"/>
          <w:vertAlign w:val="subscript"/>
        </w:rPr>
        <w:t>COO-HR</w:t>
      </w:r>
      <w:r w:rsidR="005577A2">
        <w:rPr>
          <w:rFonts w:ascii="Times New Roman" w:eastAsia="宋体" w:hAnsi="Times New Roman"/>
          <w:szCs w:val="21"/>
        </w:rPr>
        <w:t>、</w:t>
      </w:r>
      <w:proofErr w:type="spellStart"/>
      <w:r w:rsidR="005577A2">
        <w:rPr>
          <w:rFonts w:ascii="Times New Roman" w:eastAsia="宋体" w:hAnsi="Times New Roman"/>
          <w:szCs w:val="21"/>
        </w:rPr>
        <w:t>C</w:t>
      </w:r>
      <w:r w:rsidR="005577A2">
        <w:rPr>
          <w:rFonts w:ascii="Times New Roman" w:eastAsia="宋体" w:hAnsi="Times New Roman"/>
          <w:szCs w:val="21"/>
          <w:vertAlign w:val="subscript"/>
        </w:rPr>
        <w:t>Ar</w:t>
      </w:r>
      <w:proofErr w:type="spellEnd"/>
      <w:r w:rsidR="005577A2">
        <w:rPr>
          <w:rFonts w:ascii="Times New Roman" w:eastAsia="宋体" w:hAnsi="Times New Roman"/>
          <w:szCs w:val="21"/>
          <w:vertAlign w:val="subscript"/>
        </w:rPr>
        <w:t>-ON</w:t>
      </w:r>
      <w:r w:rsidR="005577A2">
        <w:rPr>
          <w:rFonts w:ascii="Times New Roman" w:eastAsia="宋体" w:hAnsi="Times New Roman"/>
          <w:szCs w:val="21"/>
        </w:rPr>
        <w:t>和</w:t>
      </w:r>
      <w:r w:rsidR="005577A2">
        <w:rPr>
          <w:rFonts w:ascii="Times New Roman" w:eastAsia="宋体" w:hAnsi="Times New Roman"/>
          <w:szCs w:val="21"/>
        </w:rPr>
        <w:t>E4/E6</w:t>
      </w:r>
      <w:r w:rsidR="005577A2">
        <w:rPr>
          <w:rFonts w:ascii="Times New Roman" w:eastAsia="宋体" w:hAnsi="Times New Roman"/>
          <w:szCs w:val="21"/>
        </w:rPr>
        <w:t>与根鲜重和根干重均呈正相关。腐植酸测定指标与根鲜重相关性的大小顺序为</w:t>
      </w:r>
      <w:r w:rsidR="005577A2">
        <w:rPr>
          <w:rFonts w:ascii="Times New Roman" w:eastAsia="宋体" w:hAnsi="Times New Roman"/>
          <w:szCs w:val="21"/>
        </w:rPr>
        <w:t>E4/E6&gt;O&gt;O/C&gt;C</w:t>
      </w:r>
      <w:r w:rsidR="005577A2">
        <w:rPr>
          <w:rFonts w:ascii="Times New Roman" w:eastAsia="宋体" w:hAnsi="Times New Roman"/>
          <w:szCs w:val="21"/>
          <w:vertAlign w:val="subscript"/>
        </w:rPr>
        <w:t>COO-HR</w:t>
      </w:r>
      <w:r w:rsidR="005577A2">
        <w:rPr>
          <w:rFonts w:ascii="Times New Roman" w:eastAsia="宋体" w:hAnsi="Times New Roman"/>
          <w:szCs w:val="21"/>
        </w:rPr>
        <w:t>&gt;</w:t>
      </w:r>
      <w:proofErr w:type="spellStart"/>
      <w:r w:rsidR="005577A2">
        <w:rPr>
          <w:rFonts w:ascii="Times New Roman" w:eastAsia="宋体" w:hAnsi="Times New Roman"/>
          <w:szCs w:val="21"/>
        </w:rPr>
        <w:t>C</w:t>
      </w:r>
      <w:r w:rsidR="005577A2">
        <w:rPr>
          <w:rFonts w:ascii="Times New Roman" w:eastAsia="宋体" w:hAnsi="Times New Roman"/>
          <w:szCs w:val="21"/>
          <w:vertAlign w:val="subscript"/>
        </w:rPr>
        <w:t>Ar</w:t>
      </w:r>
      <w:proofErr w:type="spellEnd"/>
      <w:r w:rsidR="005577A2">
        <w:rPr>
          <w:rFonts w:ascii="Times New Roman" w:eastAsia="宋体" w:hAnsi="Times New Roman"/>
          <w:szCs w:val="21"/>
          <w:vertAlign w:val="subscript"/>
        </w:rPr>
        <w:t>-ON</w:t>
      </w:r>
      <w:r w:rsidR="005577A2">
        <w:rPr>
          <w:rFonts w:ascii="Times New Roman" w:eastAsia="宋体" w:hAnsi="Times New Roman"/>
          <w:szCs w:val="21"/>
        </w:rPr>
        <w:t>，腐植酸测定指标与根干重的大小顺序为</w:t>
      </w:r>
      <w:r w:rsidR="005577A2">
        <w:rPr>
          <w:rFonts w:ascii="Times New Roman" w:eastAsia="宋体" w:hAnsi="Times New Roman"/>
          <w:szCs w:val="21"/>
        </w:rPr>
        <w:t>E4/E6&gt;O&gt;C</w:t>
      </w:r>
      <w:r w:rsidR="005577A2">
        <w:rPr>
          <w:rFonts w:ascii="Times New Roman" w:eastAsia="宋体" w:hAnsi="Times New Roman"/>
          <w:szCs w:val="21"/>
          <w:vertAlign w:val="subscript"/>
        </w:rPr>
        <w:t>COO-HR</w:t>
      </w:r>
      <w:r w:rsidR="005577A2">
        <w:rPr>
          <w:rFonts w:ascii="Times New Roman" w:eastAsia="宋体" w:hAnsi="Times New Roman"/>
          <w:szCs w:val="21"/>
        </w:rPr>
        <w:t>&gt;O/C&gt;</w:t>
      </w:r>
      <w:proofErr w:type="spellStart"/>
      <w:r w:rsidR="005577A2">
        <w:rPr>
          <w:rFonts w:ascii="Times New Roman" w:eastAsia="宋体" w:hAnsi="Times New Roman"/>
          <w:szCs w:val="21"/>
        </w:rPr>
        <w:t>C</w:t>
      </w:r>
      <w:r w:rsidR="005577A2">
        <w:rPr>
          <w:rFonts w:ascii="Times New Roman" w:eastAsia="宋体" w:hAnsi="Times New Roman"/>
          <w:szCs w:val="21"/>
          <w:vertAlign w:val="subscript"/>
        </w:rPr>
        <w:t>Ar</w:t>
      </w:r>
      <w:proofErr w:type="spellEnd"/>
      <w:r w:rsidR="005577A2">
        <w:rPr>
          <w:rFonts w:ascii="Times New Roman" w:eastAsia="宋体" w:hAnsi="Times New Roman"/>
          <w:szCs w:val="21"/>
          <w:vertAlign w:val="subscript"/>
        </w:rPr>
        <w:t>-ON</w:t>
      </w:r>
      <w:r w:rsidR="005577A2">
        <w:rPr>
          <w:rFonts w:ascii="Times New Roman" w:eastAsia="宋体" w:hAnsi="Times New Roman"/>
          <w:szCs w:val="21"/>
        </w:rPr>
        <w:t>。</w:t>
      </w:r>
      <w:bookmarkStart w:id="15" w:name="_Hlk2668917"/>
      <w:r w:rsidR="005577A2">
        <w:rPr>
          <w:rFonts w:ascii="Times New Roman" w:eastAsia="宋体" w:hAnsi="Times New Roman"/>
          <w:szCs w:val="21"/>
        </w:rPr>
        <w:t>C</w:t>
      </w:r>
      <w:r w:rsidR="005577A2">
        <w:rPr>
          <w:rFonts w:ascii="Times New Roman" w:eastAsia="宋体" w:hAnsi="Times New Roman"/>
          <w:szCs w:val="21"/>
        </w:rPr>
        <w:t>含量、</w:t>
      </w:r>
      <w:r w:rsidR="005577A2">
        <w:rPr>
          <w:rFonts w:ascii="Times New Roman" w:eastAsia="宋体" w:hAnsi="Times New Roman"/>
          <w:szCs w:val="21"/>
        </w:rPr>
        <w:t>N</w:t>
      </w:r>
      <w:r w:rsidR="005577A2">
        <w:rPr>
          <w:rFonts w:ascii="Times New Roman" w:eastAsia="宋体" w:hAnsi="Times New Roman"/>
          <w:szCs w:val="21"/>
        </w:rPr>
        <w:t>含量、</w:t>
      </w:r>
      <w:proofErr w:type="spellStart"/>
      <w:r w:rsidR="005577A2">
        <w:rPr>
          <w:rFonts w:ascii="Times New Roman" w:eastAsia="宋体" w:hAnsi="Times New Roman"/>
          <w:szCs w:val="21"/>
        </w:rPr>
        <w:t>C</w:t>
      </w:r>
      <w:r w:rsidR="005577A2">
        <w:rPr>
          <w:rFonts w:ascii="Times New Roman" w:eastAsia="宋体" w:hAnsi="Times New Roman"/>
          <w:szCs w:val="21"/>
          <w:vertAlign w:val="subscript"/>
        </w:rPr>
        <w:t>Alk</w:t>
      </w:r>
      <w:proofErr w:type="spellEnd"/>
      <w:r w:rsidR="005577A2">
        <w:rPr>
          <w:rFonts w:ascii="Times New Roman" w:eastAsia="宋体" w:hAnsi="Times New Roman"/>
          <w:szCs w:val="21"/>
          <w:vertAlign w:val="subscript"/>
        </w:rPr>
        <w:t>-ON</w:t>
      </w:r>
      <w:r w:rsidR="005577A2">
        <w:rPr>
          <w:rFonts w:ascii="Times New Roman" w:eastAsia="宋体" w:hAnsi="Times New Roman"/>
          <w:szCs w:val="21"/>
        </w:rPr>
        <w:t>含量、</w:t>
      </w:r>
      <w:proofErr w:type="spellStart"/>
      <w:r w:rsidR="005577A2">
        <w:rPr>
          <w:rFonts w:ascii="Times New Roman" w:eastAsia="宋体" w:hAnsi="Times New Roman"/>
          <w:szCs w:val="21"/>
        </w:rPr>
        <w:t>C</w:t>
      </w:r>
      <w:r w:rsidR="005577A2">
        <w:rPr>
          <w:rFonts w:ascii="Times New Roman" w:eastAsia="宋体" w:hAnsi="Times New Roman"/>
          <w:szCs w:val="21"/>
          <w:vertAlign w:val="subscript"/>
        </w:rPr>
        <w:t>Alk</w:t>
      </w:r>
      <w:proofErr w:type="spellEnd"/>
      <w:r w:rsidR="005577A2">
        <w:rPr>
          <w:rFonts w:ascii="Times New Roman" w:eastAsia="宋体" w:hAnsi="Times New Roman"/>
          <w:szCs w:val="21"/>
          <w:vertAlign w:val="subscript"/>
        </w:rPr>
        <w:t>-O</w:t>
      </w:r>
      <w:r w:rsidR="005577A2">
        <w:rPr>
          <w:rFonts w:ascii="Times New Roman" w:eastAsia="宋体" w:hAnsi="Times New Roman"/>
          <w:szCs w:val="21"/>
        </w:rPr>
        <w:t>含量、</w:t>
      </w:r>
      <w:proofErr w:type="spellStart"/>
      <w:r w:rsidR="005577A2">
        <w:rPr>
          <w:rFonts w:ascii="Times New Roman" w:eastAsia="宋体" w:hAnsi="Times New Roman"/>
          <w:szCs w:val="21"/>
        </w:rPr>
        <w:t>C</w:t>
      </w:r>
      <w:r w:rsidR="005577A2">
        <w:rPr>
          <w:rFonts w:ascii="Times New Roman" w:eastAsia="宋体" w:hAnsi="Times New Roman"/>
          <w:szCs w:val="21"/>
          <w:vertAlign w:val="subscript"/>
        </w:rPr>
        <w:t>Alk</w:t>
      </w:r>
      <w:proofErr w:type="spellEnd"/>
      <w:r w:rsidR="005577A2">
        <w:rPr>
          <w:rFonts w:ascii="Times New Roman" w:eastAsia="宋体" w:hAnsi="Times New Roman"/>
          <w:szCs w:val="21"/>
          <w:vertAlign w:val="subscript"/>
        </w:rPr>
        <w:t>-HR</w:t>
      </w:r>
      <w:r w:rsidR="005577A2">
        <w:rPr>
          <w:rFonts w:ascii="Times New Roman" w:eastAsia="宋体" w:hAnsi="Times New Roman"/>
          <w:szCs w:val="21"/>
        </w:rPr>
        <w:t>含量、</w:t>
      </w:r>
      <w:r w:rsidR="005577A2">
        <w:rPr>
          <w:rFonts w:ascii="Times New Roman" w:eastAsia="宋体" w:hAnsi="Times New Roman"/>
          <w:szCs w:val="21"/>
        </w:rPr>
        <w:t>HI</w:t>
      </w:r>
      <w:r w:rsidR="005577A2">
        <w:rPr>
          <w:rFonts w:ascii="Times New Roman" w:eastAsia="宋体" w:hAnsi="Times New Roman"/>
          <w:szCs w:val="21"/>
        </w:rPr>
        <w:t>值、</w:t>
      </w:r>
      <w:r w:rsidR="005577A2">
        <w:rPr>
          <w:rFonts w:ascii="Times New Roman" w:eastAsia="宋体" w:hAnsi="Times New Roman"/>
          <w:szCs w:val="21"/>
        </w:rPr>
        <w:t>C/H</w:t>
      </w:r>
      <w:r w:rsidR="005577A2">
        <w:rPr>
          <w:rFonts w:ascii="Times New Roman" w:eastAsia="宋体" w:hAnsi="Times New Roman"/>
          <w:szCs w:val="21"/>
        </w:rPr>
        <w:t>比</w:t>
      </w:r>
      <w:bookmarkEnd w:id="15"/>
      <w:r w:rsidR="005577A2">
        <w:rPr>
          <w:rFonts w:ascii="Times New Roman" w:eastAsia="宋体" w:hAnsi="Times New Roman"/>
          <w:szCs w:val="21"/>
        </w:rPr>
        <w:t>与玉米根鲜重和根干重呈负相关。</w:t>
      </w:r>
      <w:bookmarkEnd w:id="13"/>
      <w:r w:rsidR="005577A2">
        <w:rPr>
          <w:rFonts w:ascii="Times New Roman" w:eastAsia="宋体" w:hAnsi="Times New Roman" w:hint="eastAsia"/>
          <w:szCs w:val="21"/>
        </w:rPr>
        <w:t>一定程度上反映了小分子腐植酸对作物生长的促进作用，进一步表明了腐植酸活性指数指标作物腐植酸增效剂功能指标的科学性。</w:t>
      </w:r>
    </w:p>
    <w:p w14:paraId="78838C31" w14:textId="77777777" w:rsidR="00CF0E20" w:rsidRDefault="00CF0E20" w:rsidP="005577A2">
      <w:pPr>
        <w:adjustRightInd w:val="0"/>
        <w:snapToGrid w:val="0"/>
        <w:spacing w:afterLines="50" w:after="156" w:line="300" w:lineRule="auto"/>
        <w:ind w:firstLineChars="200" w:firstLine="420"/>
        <w:jc w:val="left"/>
        <w:rPr>
          <w:rFonts w:ascii="Times New Roman" w:eastAsia="宋体" w:hAnsi="Times New Roman"/>
          <w:szCs w:val="21"/>
        </w:rPr>
      </w:pPr>
    </w:p>
    <w:p w14:paraId="69A62910" w14:textId="77777777" w:rsidR="00CF0E20" w:rsidRDefault="00CF0E20" w:rsidP="005577A2">
      <w:pPr>
        <w:adjustRightInd w:val="0"/>
        <w:snapToGrid w:val="0"/>
        <w:spacing w:afterLines="50" w:after="156" w:line="300" w:lineRule="auto"/>
        <w:ind w:firstLineChars="200" w:firstLine="420"/>
        <w:jc w:val="left"/>
        <w:rPr>
          <w:rFonts w:ascii="Times New Roman" w:eastAsia="宋体" w:hAnsi="Times New Roman"/>
          <w:szCs w:val="21"/>
        </w:rPr>
      </w:pPr>
    </w:p>
    <w:p w14:paraId="26822EFE" w14:textId="77777777" w:rsidR="00CF0E20" w:rsidRDefault="00CF0E20" w:rsidP="005577A2">
      <w:pPr>
        <w:adjustRightInd w:val="0"/>
        <w:snapToGrid w:val="0"/>
        <w:spacing w:afterLines="50" w:after="156" w:line="300" w:lineRule="auto"/>
        <w:ind w:firstLineChars="200" w:firstLine="420"/>
        <w:jc w:val="left"/>
        <w:rPr>
          <w:rFonts w:ascii="Times New Roman" w:eastAsia="宋体" w:hAnsi="Times New Roman"/>
          <w:szCs w:val="21"/>
        </w:rPr>
      </w:pPr>
    </w:p>
    <w:p w14:paraId="6B519A7E" w14:textId="77777777" w:rsidR="00CF0E20" w:rsidRDefault="00CF0E20" w:rsidP="005577A2">
      <w:pPr>
        <w:adjustRightInd w:val="0"/>
        <w:snapToGrid w:val="0"/>
        <w:spacing w:afterLines="50" w:after="156" w:line="300" w:lineRule="auto"/>
        <w:ind w:firstLineChars="200" w:firstLine="420"/>
        <w:jc w:val="left"/>
        <w:rPr>
          <w:rFonts w:ascii="Times New Roman" w:eastAsia="宋体" w:hAnsi="Times New Roman"/>
          <w:szCs w:val="21"/>
        </w:rPr>
      </w:pPr>
    </w:p>
    <w:p w14:paraId="34A0B3E8" w14:textId="77777777" w:rsidR="00CF0E20" w:rsidRDefault="00CF0E20" w:rsidP="005577A2">
      <w:pPr>
        <w:adjustRightInd w:val="0"/>
        <w:snapToGrid w:val="0"/>
        <w:spacing w:afterLines="50" w:after="156" w:line="300" w:lineRule="auto"/>
        <w:ind w:firstLineChars="200" w:firstLine="420"/>
        <w:jc w:val="left"/>
        <w:rPr>
          <w:rFonts w:ascii="Times New Roman" w:eastAsia="宋体" w:hAnsi="Times New Roman"/>
          <w:szCs w:val="21"/>
        </w:rPr>
      </w:pPr>
    </w:p>
    <w:p w14:paraId="1422A6EC" w14:textId="77777777" w:rsidR="00CF0E20" w:rsidRDefault="00CF0E20" w:rsidP="005577A2">
      <w:pPr>
        <w:adjustRightInd w:val="0"/>
        <w:snapToGrid w:val="0"/>
        <w:spacing w:afterLines="50" w:after="156" w:line="300" w:lineRule="auto"/>
        <w:ind w:firstLineChars="200" w:firstLine="420"/>
        <w:jc w:val="left"/>
        <w:rPr>
          <w:rFonts w:ascii="Times New Roman" w:eastAsia="宋体" w:hAnsi="Times New Roman"/>
          <w:szCs w:val="21"/>
        </w:rPr>
      </w:pPr>
    </w:p>
    <w:p w14:paraId="106A64D5" w14:textId="77777777" w:rsidR="00CF0E20" w:rsidRDefault="00CF0E20" w:rsidP="005577A2">
      <w:pPr>
        <w:adjustRightInd w:val="0"/>
        <w:snapToGrid w:val="0"/>
        <w:spacing w:afterLines="50" w:after="156" w:line="300" w:lineRule="auto"/>
        <w:ind w:firstLineChars="200" w:firstLine="420"/>
        <w:jc w:val="left"/>
        <w:rPr>
          <w:rFonts w:ascii="Times New Roman" w:eastAsia="宋体" w:hAnsi="Times New Roman"/>
          <w:szCs w:val="21"/>
        </w:rPr>
      </w:pPr>
    </w:p>
    <w:p w14:paraId="5CAB0297" w14:textId="77777777" w:rsidR="005577A2" w:rsidRDefault="005577A2" w:rsidP="005577A2">
      <w:pPr>
        <w:pStyle w:val="af3"/>
        <w:spacing w:before="156" w:after="156"/>
        <w:ind w:left="420"/>
        <w:rPr>
          <w:rFonts w:eastAsia="宋体" w:cs="Times New Roman"/>
          <w:kern w:val="0"/>
          <w:sz w:val="21"/>
          <w:szCs w:val="21"/>
        </w:rPr>
      </w:pPr>
      <w:bookmarkStart w:id="16" w:name="_Toc4165993"/>
      <w:r>
        <w:rPr>
          <w:rFonts w:eastAsia="宋体" w:cs="Times New Roman" w:hint="eastAsia"/>
          <w:kern w:val="0"/>
          <w:sz w:val="21"/>
          <w:szCs w:val="21"/>
        </w:rPr>
        <w:t>图</w:t>
      </w:r>
      <w:r>
        <w:rPr>
          <w:rFonts w:eastAsia="宋体" w:cs="Times New Roman" w:hint="eastAsia"/>
          <w:kern w:val="0"/>
          <w:sz w:val="21"/>
          <w:szCs w:val="21"/>
        </w:rPr>
        <w:t xml:space="preserve"> 7 </w:t>
      </w:r>
      <w:r>
        <w:rPr>
          <w:rFonts w:eastAsia="宋体" w:cs="Times New Roman" w:hint="eastAsia"/>
          <w:kern w:val="0"/>
          <w:sz w:val="21"/>
          <w:szCs w:val="21"/>
        </w:rPr>
        <w:t>腐植酸的结构性与玉米根重量的相关关系</w:t>
      </w:r>
      <w:bookmarkEnd w:id="16"/>
    </w:p>
    <w:p w14:paraId="278F3213"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hint="eastAsia"/>
        </w:rPr>
        <w:lastRenderedPageBreak/>
        <w:t>2.</w:t>
      </w:r>
      <w:r w:rsidR="00A721D6">
        <w:rPr>
          <w:rFonts w:ascii="Times New Roman" w:hAnsi="Times New Roman" w:cs="Times New Roman" w:hint="eastAsia"/>
        </w:rPr>
        <w:t>3</w:t>
      </w:r>
      <w:r>
        <w:rPr>
          <w:rFonts w:ascii="Times New Roman" w:hAnsi="Times New Roman" w:cs="Times New Roman" w:hint="eastAsia"/>
        </w:rPr>
        <w:t xml:space="preserve"> </w:t>
      </w:r>
      <w:r>
        <w:rPr>
          <w:rFonts w:ascii="Times New Roman" w:hAnsi="Times New Roman" w:cs="Times New Roman" w:hint="eastAsia"/>
        </w:rPr>
        <w:t>活性腐植酸指数的测定</w:t>
      </w:r>
    </w:p>
    <w:p w14:paraId="3B80C6DD" w14:textId="77777777" w:rsidR="0059414D" w:rsidRDefault="00560290">
      <w:pPr>
        <w:adjustRightInd w:val="0"/>
        <w:snapToGrid w:val="0"/>
        <w:spacing w:line="300" w:lineRule="auto"/>
        <w:ind w:firstLine="420"/>
        <w:rPr>
          <w:rFonts w:ascii="Times New Roman" w:eastAsia="宋体"/>
        </w:rPr>
      </w:pPr>
      <w:r>
        <w:rPr>
          <w:rFonts w:ascii="Times New Roman" w:hAnsi="Times New Roman" w:cs="Times New Roman" w:hint="eastAsia"/>
        </w:rPr>
        <w:t>腐植酸的活性与分子量大小密切相关，研究表明分子量较小的腐植酸活性，且更容易在弱氧化条件下被氧化分解。通常的总腐植酸是在高温和强酸环境</w:t>
      </w:r>
      <w:r w:rsidR="0051453F">
        <w:rPr>
          <w:rFonts w:ascii="Times New Roman" w:hAnsi="Times New Roman" w:cs="Times New Roman" w:hint="eastAsia"/>
        </w:rPr>
        <w:t>下，</w:t>
      </w:r>
      <w:r>
        <w:rPr>
          <w:rFonts w:ascii="Times New Roman" w:hAnsi="Times New Roman" w:cs="Times New Roman" w:hint="eastAsia"/>
        </w:rPr>
        <w:t>利用</w:t>
      </w:r>
      <w:r w:rsidR="0051453F">
        <w:rPr>
          <w:rFonts w:ascii="Times New Roman" w:eastAsia="宋体" w:hint="eastAsia"/>
        </w:rPr>
        <w:t>铬（</w:t>
      </w:r>
      <w:r w:rsidR="0051453F">
        <w:rPr>
          <w:rFonts w:ascii="Times New Roman" w:eastAsia="宋体" w:hint="eastAsia"/>
        </w:rPr>
        <w:t>Cr</w:t>
      </w:r>
      <w:r w:rsidR="0051453F">
        <w:rPr>
          <w:rFonts w:ascii="Times New Roman" w:eastAsia="宋体" w:hint="eastAsia"/>
          <w:vertAlign w:val="superscript"/>
        </w:rPr>
        <w:t>6+</w:t>
      </w:r>
      <w:r w:rsidR="00B5689A">
        <w:rPr>
          <w:rFonts w:ascii="Times New Roman" w:eastAsia="宋体" w:hint="eastAsia"/>
        </w:rPr>
        <w:t>）可以将腐植酸全部氧化，</w:t>
      </w:r>
      <w:r>
        <w:rPr>
          <w:rFonts w:ascii="Times New Roman" w:eastAsia="宋体" w:hint="eastAsia"/>
        </w:rPr>
        <w:t>根据被还原的</w:t>
      </w:r>
      <w:r>
        <w:rPr>
          <w:rFonts w:ascii="Times New Roman" w:eastAsia="宋体" w:hint="eastAsia"/>
        </w:rPr>
        <w:t>Cr</w:t>
      </w:r>
      <w:r>
        <w:rPr>
          <w:rFonts w:ascii="Times New Roman" w:eastAsia="宋体" w:hint="eastAsia"/>
          <w:vertAlign w:val="superscript"/>
        </w:rPr>
        <w:t>6+</w:t>
      </w:r>
      <w:r>
        <w:rPr>
          <w:rFonts w:ascii="Times New Roman" w:eastAsia="宋体" w:hint="eastAsia"/>
        </w:rPr>
        <w:t>数量，计算腐植酸含量。</w:t>
      </w:r>
      <w:r w:rsidR="00B5689A">
        <w:rPr>
          <w:rFonts w:ascii="Times New Roman" w:eastAsia="宋体" w:hint="eastAsia"/>
        </w:rPr>
        <w:t>在低温和酸度较低的</w:t>
      </w:r>
      <w:r w:rsidR="00665040">
        <w:rPr>
          <w:rFonts w:ascii="Times New Roman" w:eastAsia="宋体" w:hint="eastAsia"/>
        </w:rPr>
        <w:t>弱氧化</w:t>
      </w:r>
      <w:r w:rsidR="00B5689A">
        <w:rPr>
          <w:rFonts w:ascii="Times New Roman" w:eastAsia="宋体" w:hint="eastAsia"/>
        </w:rPr>
        <w:t>条件下，仅有部分</w:t>
      </w:r>
      <w:r w:rsidR="0051453F">
        <w:rPr>
          <w:rFonts w:ascii="Times New Roman" w:eastAsia="宋体" w:hint="eastAsia"/>
        </w:rPr>
        <w:t>分子量较小、活性强的腐植酸可以</w:t>
      </w:r>
      <w:r w:rsidR="00396F4F">
        <w:rPr>
          <w:rFonts w:ascii="Times New Roman" w:eastAsia="宋体" w:hint="eastAsia"/>
        </w:rPr>
        <w:t>被氧化，因此，可以将在测定腐植酸</w:t>
      </w:r>
      <w:r w:rsidR="0051453F">
        <w:rPr>
          <w:rFonts w:ascii="Times New Roman" w:eastAsia="宋体" w:hint="eastAsia"/>
        </w:rPr>
        <w:t>含</w:t>
      </w:r>
      <w:r w:rsidR="00396F4F">
        <w:rPr>
          <w:rFonts w:ascii="Times New Roman" w:eastAsia="宋体" w:hint="eastAsia"/>
        </w:rPr>
        <w:t>量</w:t>
      </w:r>
      <w:r w:rsidR="00B5689A">
        <w:rPr>
          <w:rFonts w:ascii="Times New Roman" w:eastAsia="宋体" w:hint="eastAsia"/>
        </w:rPr>
        <w:t>时的高温和强酸环境调整</w:t>
      </w:r>
      <w:r w:rsidR="0051453F">
        <w:rPr>
          <w:rFonts w:ascii="Times New Roman" w:eastAsia="宋体" w:hint="eastAsia"/>
        </w:rPr>
        <w:t>为低温和</w:t>
      </w:r>
      <w:r>
        <w:rPr>
          <w:rFonts w:ascii="Times New Roman" w:eastAsia="宋体" w:hint="eastAsia"/>
        </w:rPr>
        <w:t>弱酸条件，来</w:t>
      </w:r>
      <w:r w:rsidR="00036E07">
        <w:rPr>
          <w:rFonts w:ascii="Times New Roman" w:eastAsia="宋体" w:hint="eastAsia"/>
        </w:rPr>
        <w:t>测定</w:t>
      </w:r>
      <w:r>
        <w:rPr>
          <w:rFonts w:ascii="Times New Roman" w:eastAsia="宋体" w:hint="eastAsia"/>
        </w:rPr>
        <w:t>腐植酸样品中分子量较小、</w:t>
      </w:r>
      <w:r w:rsidR="0051453F">
        <w:rPr>
          <w:rFonts w:ascii="Times New Roman" w:eastAsia="宋体" w:hint="eastAsia"/>
        </w:rPr>
        <w:t>活性</w:t>
      </w:r>
      <w:r>
        <w:rPr>
          <w:rFonts w:ascii="Times New Roman" w:eastAsia="宋体" w:hint="eastAsia"/>
        </w:rPr>
        <w:t>较高</w:t>
      </w:r>
      <w:r w:rsidR="0051453F">
        <w:rPr>
          <w:rFonts w:ascii="Times New Roman" w:eastAsia="宋体" w:hint="eastAsia"/>
        </w:rPr>
        <w:t>腐植酸含量，并与</w:t>
      </w:r>
      <w:r w:rsidR="00036E07">
        <w:rPr>
          <w:rFonts w:ascii="Times New Roman" w:eastAsia="宋体" w:hint="eastAsia"/>
        </w:rPr>
        <w:t>总腐植酸含量进行比较，得到活性腐植酸占总腐植酸的百分数，即</w:t>
      </w:r>
      <w:r w:rsidR="0051453F">
        <w:rPr>
          <w:rFonts w:ascii="Times New Roman" w:eastAsia="宋体" w:hint="eastAsia"/>
        </w:rPr>
        <w:t>活性腐植酸指数，</w:t>
      </w:r>
      <w:r w:rsidR="00036E07">
        <w:rPr>
          <w:rFonts w:ascii="Times New Roman" w:eastAsia="宋体" w:hint="eastAsia"/>
        </w:rPr>
        <w:t>从而表征肥料增效剂</w:t>
      </w:r>
      <w:r w:rsidR="00036E07">
        <w:rPr>
          <w:rFonts w:ascii="Times New Roman" w:eastAsia="宋体" w:hint="eastAsia"/>
        </w:rPr>
        <w:t xml:space="preserve"> </w:t>
      </w:r>
      <w:r w:rsidR="0051453F">
        <w:rPr>
          <w:rFonts w:ascii="Times New Roman" w:eastAsia="宋体" w:hint="eastAsia"/>
        </w:rPr>
        <w:t>腐植酸产品活性</w:t>
      </w:r>
      <w:r w:rsidR="00036E07">
        <w:rPr>
          <w:rFonts w:ascii="Times New Roman" w:eastAsia="宋体" w:hint="eastAsia"/>
        </w:rPr>
        <w:t>的</w:t>
      </w:r>
      <w:r w:rsidR="0051453F">
        <w:rPr>
          <w:rFonts w:ascii="Times New Roman" w:eastAsia="宋体" w:hint="eastAsia"/>
        </w:rPr>
        <w:t>高低。</w:t>
      </w:r>
      <w:r w:rsidR="00AC6085">
        <w:rPr>
          <w:rFonts w:ascii="Times New Roman" w:eastAsia="宋体" w:hint="eastAsia"/>
        </w:rPr>
        <w:t>分别设定温度</w:t>
      </w:r>
      <w:r w:rsidR="00AC6085">
        <w:rPr>
          <w:rFonts w:ascii="Times New Roman" w:eastAsia="宋体" w:hint="eastAsia"/>
        </w:rPr>
        <w:t>25</w:t>
      </w:r>
      <w:r w:rsidR="00AC6085">
        <w:rPr>
          <w:rFonts w:ascii="Times New Roman" w:eastAsia="宋体" w:hint="eastAsia"/>
        </w:rPr>
        <w:t>℃、</w:t>
      </w:r>
      <w:r w:rsidR="00AC6085">
        <w:rPr>
          <w:rFonts w:ascii="Times New Roman" w:eastAsia="宋体" w:hint="eastAsia"/>
        </w:rPr>
        <w:t>50</w:t>
      </w:r>
      <w:r w:rsidR="00AC6085">
        <w:rPr>
          <w:rFonts w:ascii="Times New Roman" w:eastAsia="宋体" w:hint="eastAsia"/>
        </w:rPr>
        <w:t>℃、</w:t>
      </w:r>
      <w:r w:rsidR="00AC6085">
        <w:rPr>
          <w:rFonts w:ascii="Times New Roman" w:eastAsia="宋体" w:hint="eastAsia"/>
        </w:rPr>
        <w:t>75</w:t>
      </w:r>
      <w:r w:rsidR="00AC6085">
        <w:rPr>
          <w:rFonts w:ascii="Times New Roman" w:eastAsia="宋体" w:hint="eastAsia"/>
        </w:rPr>
        <w:t>℃、</w:t>
      </w:r>
      <w:r w:rsidR="00AC6085">
        <w:rPr>
          <w:rFonts w:ascii="Times New Roman" w:eastAsia="宋体" w:hint="eastAsia"/>
        </w:rPr>
        <w:t>100</w:t>
      </w:r>
      <w:r w:rsidR="00AC6085">
        <w:rPr>
          <w:rFonts w:ascii="Times New Roman" w:eastAsia="宋体" w:hint="eastAsia"/>
        </w:rPr>
        <w:t>℃；时间</w:t>
      </w:r>
      <w:r w:rsidR="00AC6085">
        <w:rPr>
          <w:rFonts w:ascii="Times New Roman" w:eastAsia="宋体" w:hint="eastAsia"/>
        </w:rPr>
        <w:t>5min</w:t>
      </w:r>
      <w:r w:rsidR="00AC6085">
        <w:rPr>
          <w:rFonts w:ascii="Times New Roman" w:eastAsia="宋体" w:hint="eastAsia"/>
        </w:rPr>
        <w:t>、</w:t>
      </w:r>
      <w:r w:rsidR="00AC6085">
        <w:rPr>
          <w:rFonts w:ascii="Times New Roman" w:eastAsia="宋体" w:hint="eastAsia"/>
        </w:rPr>
        <w:t>10min</w:t>
      </w:r>
      <w:r w:rsidR="00AC6085">
        <w:rPr>
          <w:rFonts w:ascii="Times New Roman" w:eastAsia="宋体" w:hint="eastAsia"/>
        </w:rPr>
        <w:t>、</w:t>
      </w:r>
      <w:r w:rsidR="00AC6085">
        <w:rPr>
          <w:rFonts w:ascii="Times New Roman" w:eastAsia="宋体" w:hint="eastAsia"/>
        </w:rPr>
        <w:t>20min</w:t>
      </w:r>
      <w:r w:rsidR="00AC6085">
        <w:rPr>
          <w:rFonts w:ascii="Times New Roman" w:eastAsia="宋体" w:hint="eastAsia"/>
        </w:rPr>
        <w:t>、</w:t>
      </w:r>
      <w:r w:rsidR="00AC6085">
        <w:rPr>
          <w:rFonts w:ascii="Times New Roman" w:eastAsia="宋体" w:hint="eastAsia"/>
        </w:rPr>
        <w:t>30min</w:t>
      </w:r>
      <w:r w:rsidR="00AC6085">
        <w:rPr>
          <w:rFonts w:ascii="Times New Roman" w:eastAsia="宋体" w:hint="eastAsia"/>
        </w:rPr>
        <w:t>；硫酸用量</w:t>
      </w:r>
      <w:r w:rsidR="00AC6085">
        <w:rPr>
          <w:rFonts w:ascii="Times New Roman" w:eastAsia="宋体" w:hint="eastAsia"/>
        </w:rPr>
        <w:t>0 mL</w:t>
      </w:r>
      <w:r w:rsidR="00AC6085">
        <w:rPr>
          <w:rFonts w:ascii="Times New Roman" w:eastAsia="宋体" w:hint="eastAsia"/>
        </w:rPr>
        <w:t>、</w:t>
      </w:r>
      <w:r w:rsidR="00AC6085">
        <w:rPr>
          <w:rFonts w:ascii="Times New Roman" w:eastAsia="宋体" w:hint="eastAsia"/>
        </w:rPr>
        <w:t>1</w:t>
      </w:r>
      <w:r w:rsidR="00AC6085" w:rsidRPr="00AC6085">
        <w:rPr>
          <w:rFonts w:ascii="Times New Roman" w:eastAsia="宋体" w:hint="eastAsia"/>
        </w:rPr>
        <w:t xml:space="preserve"> </w:t>
      </w:r>
      <w:r w:rsidR="00AC6085">
        <w:rPr>
          <w:rFonts w:ascii="Times New Roman" w:eastAsia="宋体" w:hint="eastAsia"/>
        </w:rPr>
        <w:t>mL</w:t>
      </w:r>
      <w:r w:rsidR="00AC6085">
        <w:rPr>
          <w:rFonts w:ascii="Times New Roman" w:eastAsia="宋体" w:hint="eastAsia"/>
        </w:rPr>
        <w:t>、</w:t>
      </w:r>
      <w:r w:rsidR="00AC6085">
        <w:rPr>
          <w:rFonts w:ascii="Times New Roman" w:eastAsia="宋体" w:hint="eastAsia"/>
        </w:rPr>
        <w:t>3</w:t>
      </w:r>
      <w:r w:rsidR="00AC6085" w:rsidRPr="00AC6085">
        <w:rPr>
          <w:rFonts w:ascii="Times New Roman" w:eastAsia="宋体" w:hint="eastAsia"/>
        </w:rPr>
        <w:t xml:space="preserve"> </w:t>
      </w:r>
      <w:r w:rsidR="00AC6085">
        <w:rPr>
          <w:rFonts w:ascii="Times New Roman" w:eastAsia="宋体" w:hint="eastAsia"/>
        </w:rPr>
        <w:t>mL</w:t>
      </w:r>
      <w:r w:rsidR="00AC6085">
        <w:rPr>
          <w:rFonts w:ascii="Times New Roman" w:eastAsia="宋体" w:hint="eastAsia"/>
        </w:rPr>
        <w:t>、</w:t>
      </w:r>
      <w:r w:rsidR="00AC6085">
        <w:rPr>
          <w:rFonts w:ascii="Times New Roman" w:eastAsia="宋体" w:hint="eastAsia"/>
        </w:rPr>
        <w:t>5</w:t>
      </w:r>
      <w:r w:rsidR="00AC6085" w:rsidRPr="00AC6085">
        <w:rPr>
          <w:rFonts w:ascii="Times New Roman" w:eastAsia="宋体" w:hint="eastAsia"/>
        </w:rPr>
        <w:t xml:space="preserve"> </w:t>
      </w:r>
      <w:r w:rsidR="00AC6085">
        <w:rPr>
          <w:rFonts w:ascii="Times New Roman" w:eastAsia="宋体" w:hint="eastAsia"/>
        </w:rPr>
        <w:t>mL</w:t>
      </w:r>
      <w:r w:rsidR="00AC6085">
        <w:rPr>
          <w:rFonts w:ascii="Times New Roman" w:eastAsia="宋体" w:hint="eastAsia"/>
        </w:rPr>
        <w:t>，研究温度、时间、硫酸用量对腐植酸测定结果的影响，并进一步分析其与腐植酸分子量的关系，为腐植酸活性指数测定提供参数。</w:t>
      </w:r>
    </w:p>
    <w:p w14:paraId="5659DC75" w14:textId="77777777" w:rsidR="0059414D" w:rsidRDefault="0051453F">
      <w:pPr>
        <w:adjustRightInd w:val="0"/>
        <w:snapToGrid w:val="0"/>
        <w:spacing w:line="300" w:lineRule="auto"/>
        <w:ind w:firstLine="420"/>
        <w:jc w:val="center"/>
        <w:rPr>
          <w:rFonts w:ascii="Times New Roman" w:eastAsia="宋体"/>
        </w:rPr>
      </w:pPr>
      <w:r>
        <w:rPr>
          <w:rFonts w:ascii="Times New Roman" w:eastAsia="宋体" w:hint="eastAsia"/>
        </w:rPr>
        <w:t>表</w:t>
      </w:r>
      <w:r w:rsidR="00A721D6">
        <w:rPr>
          <w:rFonts w:ascii="Times New Roman" w:eastAsia="宋体" w:hint="eastAsia"/>
        </w:rPr>
        <w:t>5</w:t>
      </w:r>
      <w:r>
        <w:rPr>
          <w:rFonts w:ascii="Times New Roman" w:eastAsia="宋体" w:hint="eastAsia"/>
        </w:rPr>
        <w:t xml:space="preserve"> </w:t>
      </w:r>
      <w:r>
        <w:rPr>
          <w:rFonts w:ascii="Times New Roman" w:eastAsia="宋体" w:hint="eastAsia"/>
        </w:rPr>
        <w:t>不同温度对腐植酸含量的测定的影响</w:t>
      </w:r>
    </w:p>
    <w:tbl>
      <w:tblPr>
        <w:tblStyle w:val="af"/>
        <w:tblW w:w="4997" w:type="pct"/>
        <w:tblLook w:val="04A0" w:firstRow="1" w:lastRow="0" w:firstColumn="1" w:lastColumn="0" w:noHBand="0" w:noVBand="1"/>
      </w:tblPr>
      <w:tblGrid>
        <w:gridCol w:w="1893"/>
        <w:gridCol w:w="1656"/>
        <w:gridCol w:w="1656"/>
        <w:gridCol w:w="1656"/>
        <w:gridCol w:w="1656"/>
      </w:tblGrid>
      <w:tr w:rsidR="0059414D" w14:paraId="2EBFAD72" w14:textId="77777777">
        <w:tc>
          <w:tcPr>
            <w:tcW w:w="1111" w:type="pct"/>
            <w:vAlign w:val="bottom"/>
          </w:tcPr>
          <w:p w14:paraId="506B5BFB" w14:textId="77777777" w:rsidR="0059414D" w:rsidRDefault="00AC6085" w:rsidP="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样品</w:t>
            </w:r>
          </w:p>
        </w:tc>
        <w:tc>
          <w:tcPr>
            <w:tcW w:w="972" w:type="pct"/>
            <w:vAlign w:val="bottom"/>
          </w:tcPr>
          <w:p w14:paraId="41B4801A"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25℃</w:t>
            </w:r>
          </w:p>
        </w:tc>
        <w:tc>
          <w:tcPr>
            <w:tcW w:w="972" w:type="pct"/>
            <w:vAlign w:val="bottom"/>
          </w:tcPr>
          <w:p w14:paraId="44A35011"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50℃</w:t>
            </w:r>
          </w:p>
        </w:tc>
        <w:tc>
          <w:tcPr>
            <w:tcW w:w="972" w:type="pct"/>
            <w:vAlign w:val="bottom"/>
          </w:tcPr>
          <w:p w14:paraId="48438839"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75℃</w:t>
            </w:r>
          </w:p>
        </w:tc>
        <w:tc>
          <w:tcPr>
            <w:tcW w:w="972" w:type="pct"/>
            <w:vAlign w:val="bottom"/>
          </w:tcPr>
          <w:p w14:paraId="61CDC9B2"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100℃</w:t>
            </w:r>
          </w:p>
        </w:tc>
      </w:tr>
      <w:tr w:rsidR="0059414D" w14:paraId="6F9D7DCF" w14:textId="77777777">
        <w:tc>
          <w:tcPr>
            <w:tcW w:w="1111" w:type="pct"/>
            <w:vAlign w:val="bottom"/>
          </w:tcPr>
          <w:p w14:paraId="0A6DCAF4"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1</w:t>
            </w:r>
          </w:p>
        </w:tc>
        <w:tc>
          <w:tcPr>
            <w:tcW w:w="972" w:type="pct"/>
            <w:vAlign w:val="bottom"/>
          </w:tcPr>
          <w:p w14:paraId="310FB2A1"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41.33</w:t>
            </w:r>
          </w:p>
        </w:tc>
        <w:tc>
          <w:tcPr>
            <w:tcW w:w="972" w:type="pct"/>
            <w:vAlign w:val="bottom"/>
          </w:tcPr>
          <w:p w14:paraId="4244A8F9"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45.29</w:t>
            </w:r>
          </w:p>
        </w:tc>
        <w:tc>
          <w:tcPr>
            <w:tcW w:w="972" w:type="pct"/>
            <w:vAlign w:val="bottom"/>
          </w:tcPr>
          <w:p w14:paraId="5F13342B"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51.02</w:t>
            </w:r>
          </w:p>
        </w:tc>
        <w:tc>
          <w:tcPr>
            <w:tcW w:w="972" w:type="pct"/>
            <w:vAlign w:val="bottom"/>
          </w:tcPr>
          <w:p w14:paraId="7EC53C0B"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51.37</w:t>
            </w:r>
          </w:p>
        </w:tc>
      </w:tr>
      <w:tr w:rsidR="0059414D" w14:paraId="1479545A" w14:textId="77777777">
        <w:tc>
          <w:tcPr>
            <w:tcW w:w="1111" w:type="pct"/>
            <w:vAlign w:val="bottom"/>
          </w:tcPr>
          <w:p w14:paraId="07F06C4F"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2</w:t>
            </w:r>
          </w:p>
        </w:tc>
        <w:tc>
          <w:tcPr>
            <w:tcW w:w="972" w:type="pct"/>
            <w:vAlign w:val="bottom"/>
          </w:tcPr>
          <w:p w14:paraId="2D77BACA"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36.37</w:t>
            </w:r>
          </w:p>
        </w:tc>
        <w:tc>
          <w:tcPr>
            <w:tcW w:w="972" w:type="pct"/>
            <w:vAlign w:val="bottom"/>
          </w:tcPr>
          <w:p w14:paraId="654591AD"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41.14</w:t>
            </w:r>
          </w:p>
        </w:tc>
        <w:tc>
          <w:tcPr>
            <w:tcW w:w="972" w:type="pct"/>
            <w:vAlign w:val="bottom"/>
          </w:tcPr>
          <w:p w14:paraId="38F27FD3"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48.68</w:t>
            </w:r>
          </w:p>
        </w:tc>
        <w:tc>
          <w:tcPr>
            <w:tcW w:w="972" w:type="pct"/>
            <w:vAlign w:val="bottom"/>
          </w:tcPr>
          <w:p w14:paraId="4A1EA3A9"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48.32</w:t>
            </w:r>
          </w:p>
        </w:tc>
      </w:tr>
      <w:tr w:rsidR="0059414D" w14:paraId="431B7183" w14:textId="77777777">
        <w:tc>
          <w:tcPr>
            <w:tcW w:w="1111" w:type="pct"/>
            <w:vAlign w:val="bottom"/>
          </w:tcPr>
          <w:p w14:paraId="0DA5BEE4"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w:t>
            </w:r>
          </w:p>
        </w:tc>
        <w:tc>
          <w:tcPr>
            <w:tcW w:w="972" w:type="pct"/>
            <w:vAlign w:val="bottom"/>
          </w:tcPr>
          <w:p w14:paraId="2A98DB2A"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42.77</w:t>
            </w:r>
          </w:p>
        </w:tc>
        <w:tc>
          <w:tcPr>
            <w:tcW w:w="972" w:type="pct"/>
            <w:vAlign w:val="bottom"/>
          </w:tcPr>
          <w:p w14:paraId="451CA5C9"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53.16</w:t>
            </w:r>
          </w:p>
        </w:tc>
        <w:tc>
          <w:tcPr>
            <w:tcW w:w="972" w:type="pct"/>
            <w:vAlign w:val="bottom"/>
          </w:tcPr>
          <w:p w14:paraId="7710ED74"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67.08</w:t>
            </w:r>
          </w:p>
        </w:tc>
        <w:tc>
          <w:tcPr>
            <w:tcW w:w="972" w:type="pct"/>
            <w:vAlign w:val="bottom"/>
          </w:tcPr>
          <w:p w14:paraId="5F726862"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67.44</w:t>
            </w:r>
          </w:p>
        </w:tc>
      </w:tr>
      <w:tr w:rsidR="0059414D" w14:paraId="0E12EE56" w14:textId="77777777">
        <w:tc>
          <w:tcPr>
            <w:tcW w:w="1111" w:type="pct"/>
            <w:vAlign w:val="bottom"/>
          </w:tcPr>
          <w:p w14:paraId="0EDE7660"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4</w:t>
            </w:r>
          </w:p>
        </w:tc>
        <w:tc>
          <w:tcPr>
            <w:tcW w:w="972" w:type="pct"/>
            <w:vAlign w:val="bottom"/>
          </w:tcPr>
          <w:p w14:paraId="076FF4CE"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38.36</w:t>
            </w:r>
          </w:p>
        </w:tc>
        <w:tc>
          <w:tcPr>
            <w:tcW w:w="972" w:type="pct"/>
            <w:vAlign w:val="bottom"/>
          </w:tcPr>
          <w:p w14:paraId="6D0F3197"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40.13</w:t>
            </w:r>
          </w:p>
        </w:tc>
        <w:tc>
          <w:tcPr>
            <w:tcW w:w="972" w:type="pct"/>
            <w:vAlign w:val="bottom"/>
          </w:tcPr>
          <w:p w14:paraId="7AEE54E1"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44.16</w:t>
            </w:r>
          </w:p>
        </w:tc>
        <w:tc>
          <w:tcPr>
            <w:tcW w:w="972" w:type="pct"/>
            <w:vAlign w:val="bottom"/>
          </w:tcPr>
          <w:p w14:paraId="243B32A7"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45.23</w:t>
            </w:r>
          </w:p>
        </w:tc>
      </w:tr>
      <w:tr w:rsidR="00AC6085" w14:paraId="4B4874DD" w14:textId="77777777" w:rsidTr="00A30535">
        <w:tc>
          <w:tcPr>
            <w:tcW w:w="1111" w:type="pct"/>
            <w:vAlign w:val="bottom"/>
          </w:tcPr>
          <w:p w14:paraId="074E1F87"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5</w:t>
            </w:r>
          </w:p>
        </w:tc>
        <w:tc>
          <w:tcPr>
            <w:tcW w:w="972" w:type="pct"/>
            <w:vAlign w:val="bottom"/>
          </w:tcPr>
          <w:p w14:paraId="5B1C400E"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39.80</w:t>
            </w:r>
          </w:p>
        </w:tc>
        <w:tc>
          <w:tcPr>
            <w:tcW w:w="972" w:type="pct"/>
            <w:vAlign w:val="bottom"/>
          </w:tcPr>
          <w:p w14:paraId="65D233E6"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51.26</w:t>
            </w:r>
          </w:p>
        </w:tc>
        <w:tc>
          <w:tcPr>
            <w:tcW w:w="972" w:type="pct"/>
            <w:vAlign w:val="bottom"/>
          </w:tcPr>
          <w:p w14:paraId="4C1DDE16"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55.31</w:t>
            </w:r>
          </w:p>
        </w:tc>
        <w:tc>
          <w:tcPr>
            <w:tcW w:w="972" w:type="pct"/>
            <w:vAlign w:val="center"/>
          </w:tcPr>
          <w:p w14:paraId="30DDE289" w14:textId="77777777" w:rsidR="00AC6085" w:rsidRDefault="00AC6085"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57.47</w:t>
            </w:r>
          </w:p>
        </w:tc>
      </w:tr>
      <w:tr w:rsidR="00AC6085" w14:paraId="09A6003C" w14:textId="77777777" w:rsidTr="00A30535">
        <w:tc>
          <w:tcPr>
            <w:tcW w:w="1111" w:type="pct"/>
            <w:vAlign w:val="bottom"/>
          </w:tcPr>
          <w:p w14:paraId="35B82CFC"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6</w:t>
            </w:r>
          </w:p>
        </w:tc>
        <w:tc>
          <w:tcPr>
            <w:tcW w:w="972" w:type="pct"/>
            <w:vAlign w:val="bottom"/>
          </w:tcPr>
          <w:p w14:paraId="75A28C32" w14:textId="77777777" w:rsidR="00AC6085" w:rsidRDefault="00E3495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37.59</w:t>
            </w:r>
          </w:p>
        </w:tc>
        <w:tc>
          <w:tcPr>
            <w:tcW w:w="972" w:type="pct"/>
            <w:vAlign w:val="bottom"/>
          </w:tcPr>
          <w:p w14:paraId="77E95365"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39.43</w:t>
            </w:r>
          </w:p>
        </w:tc>
        <w:tc>
          <w:tcPr>
            <w:tcW w:w="972" w:type="pct"/>
            <w:vAlign w:val="bottom"/>
          </w:tcPr>
          <w:p w14:paraId="4D3145FF"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45.06</w:t>
            </w:r>
          </w:p>
        </w:tc>
        <w:tc>
          <w:tcPr>
            <w:tcW w:w="972" w:type="pct"/>
            <w:vAlign w:val="center"/>
          </w:tcPr>
          <w:p w14:paraId="76572EA9" w14:textId="77777777" w:rsidR="00AC6085" w:rsidRDefault="00AC6085"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46.12</w:t>
            </w:r>
          </w:p>
        </w:tc>
      </w:tr>
    </w:tbl>
    <w:p w14:paraId="4063B492" w14:textId="77777777" w:rsidR="00036E07" w:rsidRDefault="00036E07">
      <w:pPr>
        <w:adjustRightInd w:val="0"/>
        <w:snapToGrid w:val="0"/>
        <w:spacing w:line="300" w:lineRule="auto"/>
        <w:ind w:firstLine="420"/>
        <w:jc w:val="center"/>
        <w:rPr>
          <w:rFonts w:ascii="Times New Roman" w:eastAsia="宋体"/>
        </w:rPr>
      </w:pPr>
    </w:p>
    <w:p w14:paraId="4C131669" w14:textId="77777777" w:rsidR="0059414D" w:rsidRDefault="0051453F">
      <w:pPr>
        <w:adjustRightInd w:val="0"/>
        <w:snapToGrid w:val="0"/>
        <w:spacing w:line="300" w:lineRule="auto"/>
        <w:ind w:firstLine="420"/>
        <w:jc w:val="center"/>
        <w:rPr>
          <w:rFonts w:ascii="Times New Roman" w:eastAsia="宋体"/>
        </w:rPr>
      </w:pPr>
      <w:r>
        <w:rPr>
          <w:rFonts w:ascii="Times New Roman" w:eastAsia="宋体" w:hint="eastAsia"/>
        </w:rPr>
        <w:t>表</w:t>
      </w:r>
      <w:r w:rsidR="00A721D6">
        <w:rPr>
          <w:rFonts w:ascii="Times New Roman" w:eastAsia="宋体" w:hint="eastAsia"/>
        </w:rPr>
        <w:t>6</w:t>
      </w:r>
      <w:r>
        <w:rPr>
          <w:rFonts w:ascii="Times New Roman" w:eastAsia="宋体" w:hint="eastAsia"/>
        </w:rPr>
        <w:t xml:space="preserve"> </w:t>
      </w:r>
      <w:r>
        <w:rPr>
          <w:rFonts w:ascii="Times New Roman" w:eastAsia="宋体" w:hint="eastAsia"/>
        </w:rPr>
        <w:t>不同时间对腐植酸含量的测定的影响</w:t>
      </w:r>
    </w:p>
    <w:tbl>
      <w:tblPr>
        <w:tblStyle w:val="af"/>
        <w:tblW w:w="4997" w:type="pct"/>
        <w:tblLook w:val="04A0" w:firstRow="1" w:lastRow="0" w:firstColumn="1" w:lastColumn="0" w:noHBand="0" w:noVBand="1"/>
      </w:tblPr>
      <w:tblGrid>
        <w:gridCol w:w="1893"/>
        <w:gridCol w:w="1656"/>
        <w:gridCol w:w="1656"/>
        <w:gridCol w:w="1656"/>
        <w:gridCol w:w="1656"/>
      </w:tblGrid>
      <w:tr w:rsidR="0059414D" w14:paraId="13CA74A9" w14:textId="77777777">
        <w:tc>
          <w:tcPr>
            <w:tcW w:w="1111" w:type="pct"/>
            <w:vAlign w:val="bottom"/>
          </w:tcPr>
          <w:p w14:paraId="134F9E07" w14:textId="77777777" w:rsidR="0059414D" w:rsidRDefault="00AC6085" w:rsidP="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样品</w:t>
            </w:r>
          </w:p>
        </w:tc>
        <w:tc>
          <w:tcPr>
            <w:tcW w:w="972" w:type="pct"/>
            <w:vAlign w:val="bottom"/>
          </w:tcPr>
          <w:p w14:paraId="706E2AE3" w14:textId="77777777" w:rsidR="0059414D" w:rsidRDefault="0051453F">
            <w:pPr>
              <w:widowControl/>
              <w:jc w:val="center"/>
              <w:textAlignment w:val="bottom"/>
              <w:rPr>
                <w:rFonts w:ascii="Times New Roman" w:eastAsia="宋体" w:hAnsi="Times New Roman" w:cs="Times New Roman"/>
                <w:kern w:val="0"/>
                <w:szCs w:val="21"/>
              </w:rPr>
            </w:pPr>
            <w:r>
              <w:rPr>
                <w:rFonts w:ascii="Times New Roman" w:eastAsia="宋体" w:hAnsi="Times New Roman" w:cs="Times New Roman" w:hint="eastAsia"/>
                <w:kern w:val="0"/>
                <w:szCs w:val="21"/>
              </w:rPr>
              <w:t>5min</w:t>
            </w:r>
          </w:p>
        </w:tc>
        <w:tc>
          <w:tcPr>
            <w:tcW w:w="972" w:type="pct"/>
            <w:vAlign w:val="bottom"/>
          </w:tcPr>
          <w:p w14:paraId="4D703715"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10min</w:t>
            </w:r>
          </w:p>
        </w:tc>
        <w:tc>
          <w:tcPr>
            <w:tcW w:w="972" w:type="pct"/>
            <w:vAlign w:val="bottom"/>
          </w:tcPr>
          <w:p w14:paraId="64FDFAC4"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20min</w:t>
            </w:r>
          </w:p>
        </w:tc>
        <w:tc>
          <w:tcPr>
            <w:tcW w:w="972" w:type="pct"/>
            <w:vAlign w:val="bottom"/>
          </w:tcPr>
          <w:p w14:paraId="7E8A1EBF"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30min</w:t>
            </w:r>
          </w:p>
        </w:tc>
      </w:tr>
      <w:tr w:rsidR="0059414D" w14:paraId="02AC63FF" w14:textId="77777777" w:rsidTr="00AC6085">
        <w:tc>
          <w:tcPr>
            <w:tcW w:w="1111" w:type="pct"/>
            <w:vAlign w:val="bottom"/>
          </w:tcPr>
          <w:p w14:paraId="58EA20D4"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1</w:t>
            </w:r>
          </w:p>
        </w:tc>
        <w:tc>
          <w:tcPr>
            <w:tcW w:w="972" w:type="pct"/>
            <w:vAlign w:val="bottom"/>
          </w:tcPr>
          <w:p w14:paraId="28FA5004"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35.73</w:t>
            </w:r>
          </w:p>
        </w:tc>
        <w:tc>
          <w:tcPr>
            <w:tcW w:w="972" w:type="pct"/>
            <w:vAlign w:val="bottom"/>
          </w:tcPr>
          <w:p w14:paraId="25DC6B9E"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43.72</w:t>
            </w:r>
          </w:p>
        </w:tc>
        <w:tc>
          <w:tcPr>
            <w:tcW w:w="972" w:type="pct"/>
            <w:vAlign w:val="bottom"/>
          </w:tcPr>
          <w:p w14:paraId="14194ECA"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48.83</w:t>
            </w:r>
          </w:p>
        </w:tc>
        <w:tc>
          <w:tcPr>
            <w:tcW w:w="972" w:type="pct"/>
            <w:vAlign w:val="bottom"/>
          </w:tcPr>
          <w:p w14:paraId="29F04C50"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51.37</w:t>
            </w:r>
          </w:p>
        </w:tc>
      </w:tr>
      <w:tr w:rsidR="0059414D" w14:paraId="196BC052" w14:textId="77777777" w:rsidTr="00AC6085">
        <w:tc>
          <w:tcPr>
            <w:tcW w:w="1111" w:type="pct"/>
            <w:vAlign w:val="bottom"/>
          </w:tcPr>
          <w:p w14:paraId="2A84D354"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2</w:t>
            </w:r>
          </w:p>
        </w:tc>
        <w:tc>
          <w:tcPr>
            <w:tcW w:w="972" w:type="pct"/>
            <w:vAlign w:val="bottom"/>
          </w:tcPr>
          <w:p w14:paraId="44ABFF01"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33.61</w:t>
            </w:r>
          </w:p>
        </w:tc>
        <w:tc>
          <w:tcPr>
            <w:tcW w:w="972" w:type="pct"/>
            <w:vAlign w:val="bottom"/>
          </w:tcPr>
          <w:p w14:paraId="1562B0C4"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41.12</w:t>
            </w:r>
          </w:p>
        </w:tc>
        <w:tc>
          <w:tcPr>
            <w:tcW w:w="972" w:type="pct"/>
            <w:vAlign w:val="bottom"/>
          </w:tcPr>
          <w:p w14:paraId="06241C29"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45.93</w:t>
            </w:r>
          </w:p>
        </w:tc>
        <w:tc>
          <w:tcPr>
            <w:tcW w:w="972" w:type="pct"/>
            <w:vAlign w:val="bottom"/>
          </w:tcPr>
          <w:p w14:paraId="3258F2EA"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48.32</w:t>
            </w:r>
          </w:p>
        </w:tc>
      </w:tr>
      <w:tr w:rsidR="0059414D" w14:paraId="655F4AE5" w14:textId="77777777" w:rsidTr="00AC6085">
        <w:tc>
          <w:tcPr>
            <w:tcW w:w="1111" w:type="pct"/>
            <w:vAlign w:val="bottom"/>
          </w:tcPr>
          <w:p w14:paraId="55BDBDF0"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w:t>
            </w:r>
          </w:p>
        </w:tc>
        <w:tc>
          <w:tcPr>
            <w:tcW w:w="972" w:type="pct"/>
            <w:vAlign w:val="bottom"/>
          </w:tcPr>
          <w:p w14:paraId="6B2C8A35"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46.90</w:t>
            </w:r>
          </w:p>
        </w:tc>
        <w:tc>
          <w:tcPr>
            <w:tcW w:w="972" w:type="pct"/>
            <w:vAlign w:val="bottom"/>
          </w:tcPr>
          <w:p w14:paraId="26BF1448"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57.39</w:t>
            </w:r>
          </w:p>
        </w:tc>
        <w:tc>
          <w:tcPr>
            <w:tcW w:w="972" w:type="pct"/>
            <w:vAlign w:val="bottom"/>
          </w:tcPr>
          <w:p w14:paraId="0B79DFE8"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64.11</w:t>
            </w:r>
          </w:p>
        </w:tc>
        <w:tc>
          <w:tcPr>
            <w:tcW w:w="972" w:type="pct"/>
            <w:vAlign w:val="bottom"/>
          </w:tcPr>
          <w:p w14:paraId="5D8F8146"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67.44</w:t>
            </w:r>
          </w:p>
        </w:tc>
      </w:tr>
      <w:tr w:rsidR="0059414D" w14:paraId="42EAE1A1" w14:textId="77777777" w:rsidTr="00AC6085">
        <w:tc>
          <w:tcPr>
            <w:tcW w:w="1111" w:type="pct"/>
            <w:vAlign w:val="bottom"/>
          </w:tcPr>
          <w:p w14:paraId="13C925AF"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4</w:t>
            </w:r>
          </w:p>
        </w:tc>
        <w:tc>
          <w:tcPr>
            <w:tcW w:w="972" w:type="pct"/>
            <w:vAlign w:val="bottom"/>
          </w:tcPr>
          <w:p w14:paraId="26B77308"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31.46</w:t>
            </w:r>
          </w:p>
        </w:tc>
        <w:tc>
          <w:tcPr>
            <w:tcW w:w="972" w:type="pct"/>
            <w:vAlign w:val="bottom"/>
          </w:tcPr>
          <w:p w14:paraId="66C4C62E"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38.49</w:t>
            </w:r>
          </w:p>
        </w:tc>
        <w:tc>
          <w:tcPr>
            <w:tcW w:w="972" w:type="pct"/>
            <w:vAlign w:val="bottom"/>
          </w:tcPr>
          <w:p w14:paraId="25F3CF78"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43.00</w:t>
            </w:r>
          </w:p>
        </w:tc>
        <w:tc>
          <w:tcPr>
            <w:tcW w:w="972" w:type="pct"/>
            <w:vAlign w:val="bottom"/>
          </w:tcPr>
          <w:p w14:paraId="156AF2A2"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45.23</w:t>
            </w:r>
          </w:p>
        </w:tc>
      </w:tr>
      <w:tr w:rsidR="00AC6085" w14:paraId="4F008EE3" w14:textId="77777777" w:rsidTr="00AC6085">
        <w:tc>
          <w:tcPr>
            <w:tcW w:w="1111" w:type="pct"/>
            <w:vAlign w:val="bottom"/>
          </w:tcPr>
          <w:p w14:paraId="47DEC0D8"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5</w:t>
            </w:r>
          </w:p>
        </w:tc>
        <w:tc>
          <w:tcPr>
            <w:tcW w:w="972" w:type="pct"/>
            <w:vAlign w:val="bottom"/>
          </w:tcPr>
          <w:p w14:paraId="4798F2C3" w14:textId="77777777" w:rsidR="00AC6085" w:rsidRDefault="00E3495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34.55</w:t>
            </w:r>
          </w:p>
        </w:tc>
        <w:tc>
          <w:tcPr>
            <w:tcW w:w="972" w:type="pct"/>
            <w:vAlign w:val="bottom"/>
          </w:tcPr>
          <w:p w14:paraId="51A609F1" w14:textId="77777777" w:rsidR="00AC6085" w:rsidRDefault="00E3495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45.48</w:t>
            </w:r>
          </w:p>
        </w:tc>
        <w:tc>
          <w:tcPr>
            <w:tcW w:w="972" w:type="pct"/>
            <w:vAlign w:val="bottom"/>
          </w:tcPr>
          <w:p w14:paraId="69D839FD" w14:textId="77777777" w:rsidR="00AC6085" w:rsidRDefault="00E3495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53.12</w:t>
            </w:r>
          </w:p>
        </w:tc>
        <w:tc>
          <w:tcPr>
            <w:tcW w:w="972" w:type="pct"/>
            <w:vAlign w:val="center"/>
          </w:tcPr>
          <w:p w14:paraId="27359E24" w14:textId="77777777" w:rsidR="00AC6085" w:rsidRDefault="00AC6085"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57.47</w:t>
            </w:r>
          </w:p>
        </w:tc>
      </w:tr>
      <w:tr w:rsidR="00AC6085" w14:paraId="012465CA" w14:textId="77777777" w:rsidTr="00AC6085">
        <w:tc>
          <w:tcPr>
            <w:tcW w:w="1111" w:type="pct"/>
            <w:vAlign w:val="bottom"/>
          </w:tcPr>
          <w:p w14:paraId="63768310"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6</w:t>
            </w:r>
          </w:p>
        </w:tc>
        <w:tc>
          <w:tcPr>
            <w:tcW w:w="972" w:type="pct"/>
            <w:vAlign w:val="bottom"/>
          </w:tcPr>
          <w:p w14:paraId="548EEC88" w14:textId="77777777" w:rsidR="00AC6085" w:rsidRDefault="00E3495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32.17</w:t>
            </w:r>
          </w:p>
        </w:tc>
        <w:tc>
          <w:tcPr>
            <w:tcW w:w="972" w:type="pct"/>
            <w:vAlign w:val="bottom"/>
          </w:tcPr>
          <w:p w14:paraId="0A14F095" w14:textId="77777777" w:rsidR="00AC6085" w:rsidRDefault="00E3495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40.62</w:t>
            </w:r>
          </w:p>
        </w:tc>
        <w:tc>
          <w:tcPr>
            <w:tcW w:w="972" w:type="pct"/>
            <w:vAlign w:val="bottom"/>
          </w:tcPr>
          <w:p w14:paraId="605E2911" w14:textId="77777777" w:rsidR="00AC6085" w:rsidRDefault="00E3495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44.30</w:t>
            </w:r>
          </w:p>
        </w:tc>
        <w:tc>
          <w:tcPr>
            <w:tcW w:w="972" w:type="pct"/>
            <w:vAlign w:val="center"/>
          </w:tcPr>
          <w:p w14:paraId="175A6013" w14:textId="77777777" w:rsidR="00AC6085" w:rsidRDefault="00AC6085"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46.12</w:t>
            </w:r>
          </w:p>
        </w:tc>
      </w:tr>
    </w:tbl>
    <w:p w14:paraId="6C61A24A" w14:textId="77777777" w:rsidR="00036E07" w:rsidRDefault="00036E07">
      <w:pPr>
        <w:adjustRightInd w:val="0"/>
        <w:snapToGrid w:val="0"/>
        <w:spacing w:line="300" w:lineRule="auto"/>
        <w:ind w:firstLine="420"/>
        <w:jc w:val="center"/>
        <w:rPr>
          <w:rFonts w:ascii="Times New Roman" w:eastAsia="宋体"/>
        </w:rPr>
      </w:pPr>
    </w:p>
    <w:p w14:paraId="789BDBA7" w14:textId="77777777" w:rsidR="0059414D" w:rsidRDefault="0051453F">
      <w:pPr>
        <w:adjustRightInd w:val="0"/>
        <w:snapToGrid w:val="0"/>
        <w:spacing w:line="300" w:lineRule="auto"/>
        <w:ind w:firstLine="420"/>
        <w:jc w:val="center"/>
        <w:rPr>
          <w:rFonts w:ascii="Times New Roman" w:eastAsia="宋体"/>
        </w:rPr>
      </w:pPr>
      <w:r>
        <w:rPr>
          <w:rFonts w:ascii="Times New Roman" w:eastAsia="宋体" w:hint="eastAsia"/>
        </w:rPr>
        <w:t>表</w:t>
      </w:r>
      <w:r w:rsidR="00A721D6">
        <w:rPr>
          <w:rFonts w:ascii="Times New Roman" w:eastAsia="宋体" w:hint="eastAsia"/>
        </w:rPr>
        <w:t>7</w:t>
      </w:r>
      <w:r>
        <w:rPr>
          <w:rFonts w:ascii="Times New Roman" w:eastAsia="宋体" w:hint="eastAsia"/>
        </w:rPr>
        <w:t xml:space="preserve"> </w:t>
      </w:r>
      <w:r>
        <w:rPr>
          <w:rFonts w:ascii="Times New Roman" w:eastAsia="宋体" w:hint="eastAsia"/>
        </w:rPr>
        <w:t>不同硫酸加入量对腐植酸含量的测定的影响</w:t>
      </w:r>
    </w:p>
    <w:tbl>
      <w:tblPr>
        <w:tblStyle w:val="af"/>
        <w:tblW w:w="4997" w:type="pct"/>
        <w:tblLook w:val="04A0" w:firstRow="1" w:lastRow="0" w:firstColumn="1" w:lastColumn="0" w:noHBand="0" w:noVBand="1"/>
      </w:tblPr>
      <w:tblGrid>
        <w:gridCol w:w="1893"/>
        <w:gridCol w:w="1656"/>
        <w:gridCol w:w="1656"/>
        <w:gridCol w:w="1656"/>
        <w:gridCol w:w="1656"/>
      </w:tblGrid>
      <w:tr w:rsidR="0059414D" w14:paraId="4ABA2116" w14:textId="77777777">
        <w:tc>
          <w:tcPr>
            <w:tcW w:w="1111" w:type="pct"/>
            <w:vAlign w:val="bottom"/>
          </w:tcPr>
          <w:p w14:paraId="0E469B45" w14:textId="77777777" w:rsidR="0059414D" w:rsidRDefault="00AC6085" w:rsidP="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样品</w:t>
            </w:r>
          </w:p>
        </w:tc>
        <w:tc>
          <w:tcPr>
            <w:tcW w:w="972" w:type="pct"/>
            <w:vAlign w:val="bottom"/>
          </w:tcPr>
          <w:p w14:paraId="45BF5472" w14:textId="77777777" w:rsidR="0059414D" w:rsidRDefault="0051453F">
            <w:pPr>
              <w:widowControl/>
              <w:jc w:val="center"/>
              <w:textAlignment w:val="bottom"/>
              <w:rPr>
                <w:rFonts w:ascii="Times New Roman" w:eastAsia="宋体" w:hAnsi="Times New Roman" w:cs="Times New Roman"/>
                <w:kern w:val="0"/>
                <w:szCs w:val="21"/>
              </w:rPr>
            </w:pPr>
            <w:r>
              <w:rPr>
                <w:rFonts w:ascii="Times New Roman" w:eastAsia="宋体" w:hAnsi="Times New Roman" w:cs="Times New Roman" w:hint="eastAsia"/>
                <w:kern w:val="0"/>
                <w:szCs w:val="21"/>
              </w:rPr>
              <w:t>0mL</w:t>
            </w:r>
          </w:p>
        </w:tc>
        <w:tc>
          <w:tcPr>
            <w:tcW w:w="972" w:type="pct"/>
            <w:vAlign w:val="bottom"/>
          </w:tcPr>
          <w:p w14:paraId="581783F6"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1mL</w:t>
            </w:r>
          </w:p>
        </w:tc>
        <w:tc>
          <w:tcPr>
            <w:tcW w:w="972" w:type="pct"/>
            <w:vAlign w:val="bottom"/>
          </w:tcPr>
          <w:p w14:paraId="192E5973"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3mL</w:t>
            </w:r>
          </w:p>
        </w:tc>
        <w:tc>
          <w:tcPr>
            <w:tcW w:w="972" w:type="pct"/>
            <w:vAlign w:val="bottom"/>
          </w:tcPr>
          <w:p w14:paraId="222A4587"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5mL</w:t>
            </w:r>
          </w:p>
        </w:tc>
      </w:tr>
      <w:tr w:rsidR="0059414D" w14:paraId="3802516E" w14:textId="77777777" w:rsidTr="00AC6085">
        <w:tc>
          <w:tcPr>
            <w:tcW w:w="1111" w:type="pct"/>
            <w:vAlign w:val="bottom"/>
          </w:tcPr>
          <w:p w14:paraId="6194290C"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1</w:t>
            </w:r>
          </w:p>
        </w:tc>
        <w:tc>
          <w:tcPr>
            <w:tcW w:w="972" w:type="pct"/>
            <w:vAlign w:val="bottom"/>
          </w:tcPr>
          <w:p w14:paraId="0BF7AC52"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1.23</w:t>
            </w:r>
          </w:p>
        </w:tc>
        <w:tc>
          <w:tcPr>
            <w:tcW w:w="972" w:type="pct"/>
            <w:vAlign w:val="bottom"/>
          </w:tcPr>
          <w:p w14:paraId="379A7C0A"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6.47</w:t>
            </w:r>
          </w:p>
        </w:tc>
        <w:tc>
          <w:tcPr>
            <w:tcW w:w="972" w:type="pct"/>
            <w:vAlign w:val="bottom"/>
          </w:tcPr>
          <w:p w14:paraId="3C955297"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21.84</w:t>
            </w:r>
          </w:p>
        </w:tc>
        <w:tc>
          <w:tcPr>
            <w:tcW w:w="972" w:type="pct"/>
            <w:vAlign w:val="bottom"/>
          </w:tcPr>
          <w:p w14:paraId="478E4538"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51.37</w:t>
            </w:r>
          </w:p>
        </w:tc>
      </w:tr>
      <w:tr w:rsidR="0059414D" w14:paraId="64C94C66" w14:textId="77777777" w:rsidTr="00AC6085">
        <w:tc>
          <w:tcPr>
            <w:tcW w:w="1111" w:type="pct"/>
            <w:vAlign w:val="bottom"/>
          </w:tcPr>
          <w:p w14:paraId="4BFACBDE"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2</w:t>
            </w:r>
          </w:p>
        </w:tc>
        <w:tc>
          <w:tcPr>
            <w:tcW w:w="972" w:type="pct"/>
            <w:vAlign w:val="bottom"/>
          </w:tcPr>
          <w:p w14:paraId="6F6BD47E"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1.45</w:t>
            </w:r>
          </w:p>
        </w:tc>
        <w:tc>
          <w:tcPr>
            <w:tcW w:w="972" w:type="pct"/>
            <w:vAlign w:val="bottom"/>
          </w:tcPr>
          <w:p w14:paraId="16C3E59B"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6.08</w:t>
            </w:r>
          </w:p>
        </w:tc>
        <w:tc>
          <w:tcPr>
            <w:tcW w:w="972" w:type="pct"/>
            <w:vAlign w:val="bottom"/>
          </w:tcPr>
          <w:p w14:paraId="744C1A49"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20.54</w:t>
            </w:r>
          </w:p>
        </w:tc>
        <w:tc>
          <w:tcPr>
            <w:tcW w:w="972" w:type="pct"/>
            <w:vAlign w:val="bottom"/>
          </w:tcPr>
          <w:p w14:paraId="26995E74"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48.32</w:t>
            </w:r>
          </w:p>
        </w:tc>
      </w:tr>
      <w:tr w:rsidR="0059414D" w14:paraId="172B3D26" w14:textId="77777777" w:rsidTr="00AC6085">
        <w:tc>
          <w:tcPr>
            <w:tcW w:w="1111" w:type="pct"/>
            <w:vAlign w:val="bottom"/>
          </w:tcPr>
          <w:p w14:paraId="1984D11B"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w:t>
            </w:r>
          </w:p>
        </w:tc>
        <w:tc>
          <w:tcPr>
            <w:tcW w:w="972" w:type="pct"/>
            <w:vAlign w:val="bottom"/>
          </w:tcPr>
          <w:p w14:paraId="1756A971"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1.40</w:t>
            </w:r>
          </w:p>
        </w:tc>
        <w:tc>
          <w:tcPr>
            <w:tcW w:w="972" w:type="pct"/>
            <w:vAlign w:val="bottom"/>
          </w:tcPr>
          <w:p w14:paraId="72AF031A"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8.49</w:t>
            </w:r>
          </w:p>
        </w:tc>
        <w:tc>
          <w:tcPr>
            <w:tcW w:w="972" w:type="pct"/>
            <w:vAlign w:val="bottom"/>
          </w:tcPr>
          <w:p w14:paraId="3F16FF58"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28.67</w:t>
            </w:r>
          </w:p>
        </w:tc>
        <w:tc>
          <w:tcPr>
            <w:tcW w:w="972" w:type="pct"/>
            <w:vAlign w:val="bottom"/>
          </w:tcPr>
          <w:p w14:paraId="704EB965"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67.44</w:t>
            </w:r>
          </w:p>
        </w:tc>
      </w:tr>
      <w:tr w:rsidR="0059414D" w14:paraId="3FE6DCB0" w14:textId="77777777" w:rsidTr="00AC6085">
        <w:tc>
          <w:tcPr>
            <w:tcW w:w="1111" w:type="pct"/>
            <w:vAlign w:val="bottom"/>
          </w:tcPr>
          <w:p w14:paraId="70D58C2E"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4</w:t>
            </w:r>
          </w:p>
        </w:tc>
        <w:tc>
          <w:tcPr>
            <w:tcW w:w="972" w:type="pct"/>
            <w:vAlign w:val="bottom"/>
          </w:tcPr>
          <w:p w14:paraId="4B6FB573"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1.26</w:t>
            </w:r>
          </w:p>
        </w:tc>
        <w:tc>
          <w:tcPr>
            <w:tcW w:w="972" w:type="pct"/>
            <w:vAlign w:val="bottom"/>
          </w:tcPr>
          <w:p w14:paraId="1790D69F"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3.96</w:t>
            </w:r>
          </w:p>
        </w:tc>
        <w:tc>
          <w:tcPr>
            <w:tcW w:w="972" w:type="pct"/>
            <w:vAlign w:val="bottom"/>
          </w:tcPr>
          <w:p w14:paraId="2A863D12"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16.37</w:t>
            </w:r>
          </w:p>
        </w:tc>
        <w:tc>
          <w:tcPr>
            <w:tcW w:w="972" w:type="pct"/>
            <w:vAlign w:val="bottom"/>
          </w:tcPr>
          <w:p w14:paraId="7AE1B4ED" w14:textId="77777777" w:rsidR="0059414D" w:rsidRDefault="0051453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45.23</w:t>
            </w:r>
          </w:p>
        </w:tc>
      </w:tr>
      <w:tr w:rsidR="00AC6085" w14:paraId="0C8EEFD4" w14:textId="77777777" w:rsidTr="00AC6085">
        <w:tc>
          <w:tcPr>
            <w:tcW w:w="1111" w:type="pct"/>
            <w:vAlign w:val="bottom"/>
          </w:tcPr>
          <w:p w14:paraId="16AD17B1"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5</w:t>
            </w:r>
          </w:p>
        </w:tc>
        <w:tc>
          <w:tcPr>
            <w:tcW w:w="972" w:type="pct"/>
            <w:vAlign w:val="bottom"/>
          </w:tcPr>
          <w:p w14:paraId="0972AD48" w14:textId="77777777" w:rsidR="00AC6085" w:rsidRDefault="00C552D0">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1.22</w:t>
            </w:r>
          </w:p>
        </w:tc>
        <w:tc>
          <w:tcPr>
            <w:tcW w:w="972" w:type="pct"/>
            <w:vAlign w:val="bottom"/>
          </w:tcPr>
          <w:p w14:paraId="0F6E5DAE" w14:textId="77777777" w:rsidR="00AC6085" w:rsidRDefault="00C552D0">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7.51</w:t>
            </w:r>
          </w:p>
        </w:tc>
        <w:tc>
          <w:tcPr>
            <w:tcW w:w="972" w:type="pct"/>
            <w:vAlign w:val="bottom"/>
          </w:tcPr>
          <w:p w14:paraId="180C8A5F" w14:textId="77777777" w:rsidR="00AC6085" w:rsidRDefault="00E3495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30.36</w:t>
            </w:r>
          </w:p>
        </w:tc>
        <w:tc>
          <w:tcPr>
            <w:tcW w:w="972" w:type="pct"/>
            <w:vAlign w:val="center"/>
          </w:tcPr>
          <w:p w14:paraId="34250DCB" w14:textId="77777777" w:rsidR="00AC6085" w:rsidRDefault="00AC6085"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57.47</w:t>
            </w:r>
          </w:p>
        </w:tc>
      </w:tr>
      <w:tr w:rsidR="00AC6085" w14:paraId="2999E68B" w14:textId="77777777" w:rsidTr="00AC6085">
        <w:tc>
          <w:tcPr>
            <w:tcW w:w="1111" w:type="pct"/>
            <w:vAlign w:val="bottom"/>
          </w:tcPr>
          <w:p w14:paraId="62934BA4" w14:textId="77777777" w:rsidR="00AC6085" w:rsidRDefault="00AC608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6</w:t>
            </w:r>
          </w:p>
        </w:tc>
        <w:tc>
          <w:tcPr>
            <w:tcW w:w="972" w:type="pct"/>
            <w:vAlign w:val="bottom"/>
          </w:tcPr>
          <w:p w14:paraId="47C9B230" w14:textId="77777777" w:rsidR="00AC6085" w:rsidRDefault="00C552D0">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1.20</w:t>
            </w:r>
          </w:p>
        </w:tc>
        <w:tc>
          <w:tcPr>
            <w:tcW w:w="972" w:type="pct"/>
            <w:vAlign w:val="bottom"/>
          </w:tcPr>
          <w:p w14:paraId="1FC5AC96" w14:textId="77777777" w:rsidR="00AC6085" w:rsidRDefault="00C552D0">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6.47</w:t>
            </w:r>
          </w:p>
        </w:tc>
        <w:tc>
          <w:tcPr>
            <w:tcW w:w="972" w:type="pct"/>
            <w:vAlign w:val="bottom"/>
          </w:tcPr>
          <w:p w14:paraId="7D7AC577" w14:textId="77777777" w:rsidR="00AC6085" w:rsidRDefault="00E34955">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19.24</w:t>
            </w:r>
          </w:p>
        </w:tc>
        <w:tc>
          <w:tcPr>
            <w:tcW w:w="972" w:type="pct"/>
            <w:vAlign w:val="center"/>
          </w:tcPr>
          <w:p w14:paraId="69F6514D" w14:textId="77777777" w:rsidR="00AC6085" w:rsidRDefault="00AC6085" w:rsidP="00A30535">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46.12</w:t>
            </w:r>
          </w:p>
        </w:tc>
      </w:tr>
    </w:tbl>
    <w:p w14:paraId="102E27BC" w14:textId="77777777" w:rsidR="0059414D" w:rsidRDefault="0051453F" w:rsidP="004E74D9">
      <w:pPr>
        <w:adjustRightInd w:val="0"/>
        <w:snapToGrid w:val="0"/>
        <w:spacing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表</w:t>
      </w:r>
      <w:r w:rsidR="00A721D6">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、表</w:t>
      </w:r>
      <w:r w:rsidR="00A721D6">
        <w:rPr>
          <w:rFonts w:ascii="Times New Roman" w:eastAsia="宋体" w:hAnsi="Times New Roman" w:cs="Times New Roman" w:hint="eastAsia"/>
          <w:kern w:val="0"/>
          <w:szCs w:val="21"/>
        </w:rPr>
        <w:t>6</w:t>
      </w:r>
      <w:r>
        <w:rPr>
          <w:rFonts w:ascii="Times New Roman" w:eastAsia="宋体" w:hAnsi="Times New Roman" w:cs="Times New Roman" w:hint="eastAsia"/>
          <w:kern w:val="0"/>
          <w:szCs w:val="21"/>
        </w:rPr>
        <w:t>、表</w:t>
      </w:r>
      <w:r w:rsidR="00A721D6">
        <w:rPr>
          <w:rFonts w:ascii="Times New Roman" w:eastAsia="宋体" w:hAnsi="Times New Roman" w:cs="Times New Roman" w:hint="eastAsia"/>
          <w:kern w:val="0"/>
          <w:szCs w:val="21"/>
        </w:rPr>
        <w:t>7</w:t>
      </w:r>
      <w:r w:rsidR="00036E07">
        <w:rPr>
          <w:rFonts w:ascii="Times New Roman" w:eastAsia="宋体" w:hAnsi="Times New Roman" w:cs="Times New Roman" w:hint="eastAsia"/>
          <w:kern w:val="0"/>
          <w:szCs w:val="21"/>
        </w:rPr>
        <w:t>分别是温度、时间、酸度条件对</w:t>
      </w:r>
      <w:r w:rsidR="00E92C0D">
        <w:rPr>
          <w:rFonts w:ascii="Times New Roman" w:eastAsia="宋体" w:hAnsi="Times New Roman" w:cs="Times New Roman" w:hint="eastAsia"/>
          <w:kern w:val="0"/>
          <w:szCs w:val="21"/>
        </w:rPr>
        <w:t>腐植酸测定含量的影响结果。从表中可以看出，</w:t>
      </w:r>
      <w:r>
        <w:rPr>
          <w:rFonts w:ascii="Times New Roman" w:eastAsia="宋体" w:hAnsi="Times New Roman" w:cs="Times New Roman" w:hint="eastAsia"/>
          <w:kern w:val="0"/>
          <w:szCs w:val="21"/>
        </w:rPr>
        <w:t>硫酸加入量的多少对腐植酸的测定结果影响最大，当不加酸时，样品腐植酸含量区分度不大，选用</w:t>
      </w:r>
      <w:r>
        <w:rPr>
          <w:rFonts w:ascii="Times New Roman" w:eastAsia="宋体" w:hAnsi="Times New Roman" w:cs="Times New Roman" w:hint="eastAsia"/>
          <w:kern w:val="0"/>
          <w:szCs w:val="21"/>
        </w:rPr>
        <w:t>1mL</w:t>
      </w:r>
      <w:r w:rsidR="004E74D9">
        <w:rPr>
          <w:rFonts w:ascii="Times New Roman" w:eastAsia="宋体" w:hAnsi="Times New Roman" w:cs="Times New Roman" w:hint="eastAsia"/>
          <w:kern w:val="0"/>
          <w:szCs w:val="21"/>
        </w:rPr>
        <w:t>多为试验拟选条件，温度与时间则综合考虑试验结果与可操作</w:t>
      </w:r>
      <w:r>
        <w:rPr>
          <w:rFonts w:ascii="Times New Roman" w:eastAsia="宋体" w:hAnsi="Times New Roman" w:cs="Times New Roman" w:hint="eastAsia"/>
          <w:kern w:val="0"/>
          <w:szCs w:val="21"/>
        </w:rPr>
        <w:t>性，拟选定</w:t>
      </w:r>
      <w:r>
        <w:rPr>
          <w:rFonts w:ascii="Times New Roman" w:eastAsia="宋体" w:hAnsi="Times New Roman" w:cs="Times New Roman" w:hint="eastAsia"/>
          <w:kern w:val="0"/>
          <w:szCs w:val="21"/>
        </w:rPr>
        <w:t>50</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10min</w:t>
      </w:r>
      <w:r>
        <w:rPr>
          <w:rFonts w:ascii="Times New Roman" w:eastAsia="宋体" w:hAnsi="Times New Roman" w:cs="Times New Roman" w:hint="eastAsia"/>
          <w:kern w:val="0"/>
          <w:szCs w:val="21"/>
        </w:rPr>
        <w:t>作为试验条件。</w:t>
      </w:r>
    </w:p>
    <w:p w14:paraId="55B7047A" w14:textId="77777777" w:rsidR="0059414D" w:rsidRDefault="0051453F">
      <w:pPr>
        <w:ind w:firstLineChars="200" w:firstLine="420"/>
        <w:rPr>
          <w:rFonts w:ascii="Times New Roman" w:hAnsi="Times New Roman"/>
        </w:rPr>
      </w:pPr>
      <w:r>
        <w:rPr>
          <w:rFonts w:ascii="Times New Roman" w:eastAsia="宋体" w:hAnsi="Times New Roman" w:cs="Times New Roman" w:hint="eastAsia"/>
          <w:kern w:val="0"/>
          <w:szCs w:val="21"/>
        </w:rPr>
        <w:t>为进一步验证拟选试验条件可以表征腐植酸产品活性（分子量大小），</w:t>
      </w:r>
      <w:r w:rsidR="004E74D9">
        <w:rPr>
          <w:rFonts w:ascii="Times New Roman" w:hAnsi="Times New Roman"/>
        </w:rPr>
        <w:t>以</w:t>
      </w:r>
      <w:r>
        <w:rPr>
          <w:rFonts w:ascii="Times New Roman" w:hAnsi="Times New Roman"/>
        </w:rPr>
        <w:t>纤维素超滤膜</w:t>
      </w:r>
      <w:r>
        <w:rPr>
          <w:rFonts w:ascii="Times New Roman" w:hAnsi="Times New Roman"/>
        </w:rPr>
        <w:lastRenderedPageBreak/>
        <w:t>片（</w:t>
      </w:r>
      <w:proofErr w:type="spellStart"/>
      <w:r>
        <w:rPr>
          <w:rFonts w:ascii="Times New Roman" w:hAnsi="Times New Roman"/>
        </w:rPr>
        <w:t>Ultracel</w:t>
      </w:r>
      <w:proofErr w:type="spellEnd"/>
      <w:r>
        <w:rPr>
          <w:rFonts w:ascii="Times New Roman" w:hAnsi="Times New Roman"/>
        </w:rPr>
        <w:t xml:space="preserve">®, </w:t>
      </w:r>
      <w:proofErr w:type="spellStart"/>
      <w:r>
        <w:rPr>
          <w:rFonts w:ascii="Times New Roman" w:hAnsi="Times New Roman"/>
        </w:rPr>
        <w:t>Amicon</w:t>
      </w:r>
      <w:proofErr w:type="spellEnd"/>
      <w:r>
        <w:rPr>
          <w:rFonts w:ascii="Times New Roman" w:hAnsi="Times New Roman"/>
        </w:rPr>
        <w:t>）</w:t>
      </w:r>
      <w:r>
        <w:rPr>
          <w:rFonts w:ascii="Times New Roman" w:hAnsi="Times New Roman" w:hint="eastAsia"/>
        </w:rPr>
        <w:t>超滤分级</w:t>
      </w:r>
      <w:r>
        <w:rPr>
          <w:rFonts w:ascii="Times New Roman" w:hAnsi="Times New Roman"/>
        </w:rPr>
        <w:t>，</w:t>
      </w:r>
      <w:r>
        <w:rPr>
          <w:rFonts w:ascii="Times New Roman" w:hAnsi="Times New Roman" w:hint="eastAsia"/>
        </w:rPr>
        <w:t>获得＞</w:t>
      </w:r>
      <w:r>
        <w:rPr>
          <w:rFonts w:ascii="Times New Roman" w:hAnsi="Times New Roman" w:hint="eastAsia"/>
        </w:rPr>
        <w:t>1</w:t>
      </w:r>
      <w:r>
        <w:rPr>
          <w:rFonts w:ascii="Times New Roman" w:hAnsi="Times New Roman"/>
        </w:rPr>
        <w:t>00KDa</w:t>
      </w:r>
      <w:r>
        <w:rPr>
          <w:rFonts w:ascii="Times New Roman" w:hAnsi="Times New Roman" w:hint="eastAsia"/>
        </w:rPr>
        <w:t>、</w:t>
      </w:r>
      <w:r>
        <w:rPr>
          <w:rFonts w:ascii="Times New Roman" w:hAnsi="Times New Roman"/>
        </w:rPr>
        <w:t>10</w:t>
      </w:r>
      <w:r>
        <w:rPr>
          <w:rFonts w:ascii="Times New Roman" w:hAnsi="Times New Roman" w:hint="eastAsia"/>
        </w:rPr>
        <w:t>-</w:t>
      </w:r>
      <w:r>
        <w:rPr>
          <w:rFonts w:ascii="Times New Roman" w:hAnsi="Times New Roman"/>
        </w:rPr>
        <w:t>100KDa</w:t>
      </w:r>
      <w:r>
        <w:rPr>
          <w:rFonts w:ascii="Times New Roman" w:hAnsi="Times New Roman" w:hint="eastAsia"/>
        </w:rPr>
        <w:t>、＜</w:t>
      </w:r>
      <w:r>
        <w:rPr>
          <w:rFonts w:ascii="Times New Roman" w:hAnsi="Times New Roman" w:hint="eastAsia"/>
        </w:rPr>
        <w:t>1</w:t>
      </w:r>
      <w:r>
        <w:rPr>
          <w:rFonts w:ascii="Times New Roman" w:hAnsi="Times New Roman"/>
        </w:rPr>
        <w:t>0KDa</w:t>
      </w:r>
      <w:r>
        <w:rPr>
          <w:rFonts w:ascii="Times New Roman" w:hAnsi="Times New Roman" w:hint="eastAsia"/>
        </w:rPr>
        <w:t>高、中、低</w:t>
      </w:r>
      <w:r>
        <w:rPr>
          <w:rFonts w:ascii="Times New Roman" w:hAnsi="Times New Roman" w:hint="eastAsia"/>
        </w:rPr>
        <w:t>3</w:t>
      </w:r>
      <w:r>
        <w:rPr>
          <w:rFonts w:ascii="Times New Roman" w:hAnsi="Times New Roman"/>
        </w:rPr>
        <w:t>个不同分子量大小的腐植酸样品</w:t>
      </w:r>
      <w:proofErr w:type="spellStart"/>
      <w:r>
        <w:rPr>
          <w:rFonts w:ascii="Times New Roman" w:hAnsi="Times New Roman" w:hint="eastAsia"/>
        </w:rPr>
        <w:t>H</w:t>
      </w:r>
      <w:r>
        <w:rPr>
          <w:rFonts w:ascii="Times New Roman" w:hAnsi="Times New Roman"/>
        </w:rPr>
        <w:t>A</w:t>
      </w:r>
      <w:r>
        <w:rPr>
          <w:rFonts w:ascii="Times New Roman" w:hAnsi="Times New Roman" w:hint="eastAsia"/>
          <w:vertAlign w:val="subscript"/>
        </w:rPr>
        <w:t>h</w:t>
      </w:r>
      <w:proofErr w:type="spellEnd"/>
      <w:r>
        <w:rPr>
          <w:rFonts w:ascii="Times New Roman" w:hAnsi="Times New Roman" w:hint="eastAsia"/>
        </w:rPr>
        <w:t>、</w:t>
      </w:r>
      <w:proofErr w:type="spellStart"/>
      <w:r>
        <w:rPr>
          <w:rFonts w:ascii="Times New Roman" w:hAnsi="Times New Roman" w:hint="eastAsia"/>
        </w:rPr>
        <w:t>H</w:t>
      </w:r>
      <w:r>
        <w:rPr>
          <w:rFonts w:ascii="Times New Roman" w:hAnsi="Times New Roman"/>
        </w:rPr>
        <w:t>A</w:t>
      </w:r>
      <w:r>
        <w:rPr>
          <w:rFonts w:ascii="Times New Roman" w:hAnsi="Times New Roman" w:hint="eastAsia"/>
          <w:vertAlign w:val="subscript"/>
        </w:rPr>
        <w:t>m</w:t>
      </w:r>
      <w:proofErr w:type="spellEnd"/>
      <w:r>
        <w:rPr>
          <w:rFonts w:ascii="Times New Roman" w:hAnsi="Times New Roman" w:hint="eastAsia"/>
        </w:rPr>
        <w:t>、</w:t>
      </w:r>
      <w:r>
        <w:rPr>
          <w:rFonts w:ascii="Times New Roman" w:hAnsi="Times New Roman" w:hint="eastAsia"/>
        </w:rPr>
        <w:t>H</w:t>
      </w:r>
      <w:r>
        <w:rPr>
          <w:rFonts w:ascii="Times New Roman" w:hAnsi="Times New Roman"/>
        </w:rPr>
        <w:t>A</w:t>
      </w:r>
      <w:r>
        <w:rPr>
          <w:rFonts w:ascii="Times New Roman" w:hAnsi="Times New Roman"/>
          <w:vertAlign w:val="subscript"/>
        </w:rPr>
        <w:t>L</w:t>
      </w:r>
      <w:r>
        <w:rPr>
          <w:rFonts w:ascii="Times New Roman" w:hAnsi="Times New Roman" w:hint="eastAsia"/>
        </w:rPr>
        <w:t>进行腐植酸活化指数的测定（表</w:t>
      </w:r>
      <w:r w:rsidR="00A721D6">
        <w:rPr>
          <w:rFonts w:ascii="Times New Roman" w:hAnsi="Times New Roman" w:hint="eastAsia"/>
        </w:rPr>
        <w:t>8</w:t>
      </w:r>
      <w:r>
        <w:rPr>
          <w:rFonts w:ascii="Times New Roman" w:hAnsi="Times New Roman" w:hint="eastAsia"/>
        </w:rPr>
        <w:t>）。</w:t>
      </w:r>
    </w:p>
    <w:p w14:paraId="6933AA76" w14:textId="77777777" w:rsidR="007F5AF7" w:rsidRDefault="007F5AF7">
      <w:pPr>
        <w:ind w:firstLineChars="200" w:firstLine="420"/>
        <w:rPr>
          <w:rFonts w:ascii="Times New Roman" w:hAnsi="Times New Roman"/>
        </w:rPr>
      </w:pPr>
    </w:p>
    <w:p w14:paraId="7E1F7184" w14:textId="77777777" w:rsidR="0059414D" w:rsidRDefault="0051453F">
      <w:pPr>
        <w:adjustRightInd w:val="0"/>
        <w:snapToGrid w:val="0"/>
        <w:spacing w:line="300" w:lineRule="auto"/>
        <w:ind w:firstLine="420"/>
        <w:jc w:val="center"/>
        <w:rPr>
          <w:rFonts w:ascii="Times New Roman" w:eastAsia="宋体"/>
        </w:rPr>
      </w:pPr>
      <w:r>
        <w:rPr>
          <w:rFonts w:ascii="Times New Roman" w:eastAsia="宋体" w:hint="eastAsia"/>
        </w:rPr>
        <w:t>表</w:t>
      </w:r>
      <w:r w:rsidR="00A721D6">
        <w:rPr>
          <w:rFonts w:ascii="Times New Roman" w:eastAsia="宋体" w:hint="eastAsia"/>
        </w:rPr>
        <w:t>8</w:t>
      </w:r>
      <w:r>
        <w:rPr>
          <w:rFonts w:ascii="Times New Roman" w:eastAsia="宋体" w:hint="eastAsia"/>
        </w:rPr>
        <w:t xml:space="preserve"> </w:t>
      </w:r>
      <w:r w:rsidR="00A30535">
        <w:rPr>
          <w:rFonts w:ascii="Times New Roman" w:eastAsia="宋体" w:hint="eastAsia"/>
        </w:rPr>
        <w:t>不同分子量腐植酸</w:t>
      </w:r>
      <w:r>
        <w:rPr>
          <w:rFonts w:ascii="Times New Roman" w:eastAsia="宋体" w:hint="eastAsia"/>
        </w:rPr>
        <w:t>活性指数</w:t>
      </w:r>
    </w:p>
    <w:tbl>
      <w:tblPr>
        <w:tblStyle w:val="af"/>
        <w:tblW w:w="4999" w:type="pct"/>
        <w:tblLook w:val="04A0" w:firstRow="1" w:lastRow="0" w:firstColumn="1" w:lastColumn="0" w:noHBand="0" w:noVBand="1"/>
      </w:tblPr>
      <w:tblGrid>
        <w:gridCol w:w="2349"/>
        <w:gridCol w:w="2057"/>
        <w:gridCol w:w="2057"/>
        <w:gridCol w:w="2057"/>
      </w:tblGrid>
      <w:tr w:rsidR="0059414D" w14:paraId="56226C2E" w14:textId="77777777">
        <w:tc>
          <w:tcPr>
            <w:tcW w:w="1378" w:type="pct"/>
            <w:vAlign w:val="bottom"/>
          </w:tcPr>
          <w:p w14:paraId="1752D070" w14:textId="77777777" w:rsidR="0059414D" w:rsidRDefault="00C552D0" w:rsidP="00C552D0">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处理</w:t>
            </w:r>
          </w:p>
        </w:tc>
        <w:tc>
          <w:tcPr>
            <w:tcW w:w="1207" w:type="pct"/>
            <w:vAlign w:val="bottom"/>
          </w:tcPr>
          <w:p w14:paraId="5F131959" w14:textId="77777777" w:rsidR="0059414D" w:rsidRDefault="0051453F">
            <w:pPr>
              <w:widowControl/>
              <w:jc w:val="center"/>
              <w:textAlignment w:val="bottom"/>
              <w:rPr>
                <w:rFonts w:ascii="Times New Roman" w:eastAsia="宋体" w:hAnsi="Times New Roman" w:cs="Times New Roman"/>
                <w:kern w:val="0"/>
                <w:szCs w:val="21"/>
              </w:rPr>
            </w:pPr>
            <w:proofErr w:type="spellStart"/>
            <w:r>
              <w:rPr>
                <w:rFonts w:ascii="Times New Roman" w:hAnsi="Times New Roman" w:hint="eastAsia"/>
              </w:rPr>
              <w:t>H</w:t>
            </w:r>
            <w:r>
              <w:rPr>
                <w:rFonts w:ascii="Times New Roman" w:hAnsi="Times New Roman"/>
              </w:rPr>
              <w:t>A</w:t>
            </w:r>
            <w:r>
              <w:rPr>
                <w:rFonts w:ascii="Times New Roman" w:hAnsi="Times New Roman" w:hint="eastAsia"/>
                <w:vertAlign w:val="subscript"/>
              </w:rPr>
              <w:t>h</w:t>
            </w:r>
            <w:proofErr w:type="spellEnd"/>
          </w:p>
        </w:tc>
        <w:tc>
          <w:tcPr>
            <w:tcW w:w="1207" w:type="pct"/>
            <w:vAlign w:val="bottom"/>
          </w:tcPr>
          <w:p w14:paraId="7AC0622A" w14:textId="77777777" w:rsidR="0059414D" w:rsidRDefault="0051453F">
            <w:pPr>
              <w:widowControl/>
              <w:jc w:val="center"/>
              <w:textAlignment w:val="bottom"/>
              <w:rPr>
                <w:rFonts w:ascii="Times New Roman" w:eastAsia="宋体" w:hAnsi="Times New Roman" w:cs="Times New Roman"/>
                <w:kern w:val="0"/>
                <w:szCs w:val="21"/>
              </w:rPr>
            </w:pPr>
            <w:proofErr w:type="spellStart"/>
            <w:r>
              <w:rPr>
                <w:rFonts w:ascii="Times New Roman" w:hAnsi="Times New Roman" w:hint="eastAsia"/>
              </w:rPr>
              <w:t>H</w:t>
            </w:r>
            <w:r>
              <w:rPr>
                <w:rFonts w:ascii="Times New Roman" w:hAnsi="Times New Roman"/>
              </w:rPr>
              <w:t>A</w:t>
            </w:r>
            <w:r>
              <w:rPr>
                <w:rFonts w:ascii="Times New Roman" w:hAnsi="Times New Roman" w:hint="eastAsia"/>
                <w:vertAlign w:val="subscript"/>
              </w:rPr>
              <w:t>m</w:t>
            </w:r>
            <w:proofErr w:type="spellEnd"/>
          </w:p>
        </w:tc>
        <w:tc>
          <w:tcPr>
            <w:tcW w:w="1207" w:type="pct"/>
            <w:vAlign w:val="bottom"/>
          </w:tcPr>
          <w:p w14:paraId="4182E89B" w14:textId="77777777" w:rsidR="0059414D" w:rsidRDefault="0051453F">
            <w:pPr>
              <w:widowControl/>
              <w:jc w:val="center"/>
              <w:textAlignment w:val="bottom"/>
              <w:rPr>
                <w:rFonts w:ascii="Times New Roman" w:eastAsia="宋体" w:hAnsi="Times New Roman" w:cs="Times New Roman"/>
                <w:kern w:val="0"/>
                <w:szCs w:val="21"/>
              </w:rPr>
            </w:pPr>
            <w:r>
              <w:rPr>
                <w:rFonts w:ascii="Times New Roman" w:hAnsi="Times New Roman" w:hint="eastAsia"/>
              </w:rPr>
              <w:t>H</w:t>
            </w:r>
            <w:r>
              <w:rPr>
                <w:rFonts w:ascii="Times New Roman" w:hAnsi="Times New Roman"/>
              </w:rPr>
              <w:t>A</w:t>
            </w:r>
            <w:r>
              <w:rPr>
                <w:rFonts w:ascii="Times New Roman" w:hAnsi="Times New Roman"/>
                <w:vertAlign w:val="subscript"/>
              </w:rPr>
              <w:t>L</w:t>
            </w:r>
          </w:p>
        </w:tc>
      </w:tr>
      <w:tr w:rsidR="0059414D" w14:paraId="25E03F59" w14:textId="77777777">
        <w:tc>
          <w:tcPr>
            <w:tcW w:w="1378" w:type="pct"/>
            <w:vAlign w:val="bottom"/>
          </w:tcPr>
          <w:p w14:paraId="019D13CE"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1</w:t>
            </w:r>
          </w:p>
        </w:tc>
        <w:tc>
          <w:tcPr>
            <w:tcW w:w="1207" w:type="pct"/>
            <w:vAlign w:val="bottom"/>
          </w:tcPr>
          <w:p w14:paraId="020D7951" w14:textId="77777777" w:rsidR="0059414D" w:rsidRDefault="008B1B4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w:t>
            </w:r>
            <w:r w:rsidR="0051453F">
              <w:rPr>
                <w:rFonts w:ascii="宋体" w:eastAsia="宋体" w:hAnsi="宋体" w:cs="宋体" w:hint="eastAsia"/>
                <w:color w:val="000000"/>
                <w:kern w:val="0"/>
                <w:sz w:val="22"/>
                <w:lang w:bidi="ar"/>
              </w:rPr>
              <w:t>.44</w:t>
            </w:r>
          </w:p>
        </w:tc>
        <w:tc>
          <w:tcPr>
            <w:tcW w:w="1207" w:type="pct"/>
            <w:vAlign w:val="bottom"/>
          </w:tcPr>
          <w:p w14:paraId="59F3C3BC" w14:textId="77777777" w:rsidR="0059414D" w:rsidRDefault="0051453F" w:rsidP="00A30535">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w:t>
            </w:r>
            <w:r w:rsidR="00A30535">
              <w:rPr>
                <w:rFonts w:ascii="宋体" w:eastAsia="宋体" w:hAnsi="宋体" w:cs="宋体" w:hint="eastAsia"/>
                <w:color w:val="000000"/>
                <w:kern w:val="0"/>
                <w:sz w:val="22"/>
                <w:lang w:bidi="ar"/>
              </w:rPr>
              <w:t>3</w:t>
            </w:r>
            <w:r>
              <w:rPr>
                <w:rFonts w:ascii="宋体" w:eastAsia="宋体" w:hAnsi="宋体" w:cs="宋体" w:hint="eastAsia"/>
                <w:color w:val="000000"/>
                <w:kern w:val="0"/>
                <w:sz w:val="22"/>
                <w:lang w:bidi="ar"/>
              </w:rPr>
              <w:t>.3</w:t>
            </w:r>
            <w:r w:rsidR="00A30535">
              <w:rPr>
                <w:rFonts w:ascii="宋体" w:eastAsia="宋体" w:hAnsi="宋体" w:cs="宋体" w:hint="eastAsia"/>
                <w:color w:val="000000"/>
                <w:kern w:val="0"/>
                <w:sz w:val="22"/>
                <w:lang w:bidi="ar"/>
              </w:rPr>
              <w:t>2</w:t>
            </w:r>
          </w:p>
        </w:tc>
        <w:tc>
          <w:tcPr>
            <w:tcW w:w="1207" w:type="pct"/>
            <w:vAlign w:val="bottom"/>
          </w:tcPr>
          <w:p w14:paraId="77A8E82F" w14:textId="77777777" w:rsidR="0059414D" w:rsidRDefault="00A30535">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w:t>
            </w:r>
            <w:r w:rsidR="0051453F">
              <w:rPr>
                <w:rFonts w:ascii="宋体" w:eastAsia="宋体" w:hAnsi="宋体" w:cs="宋体" w:hint="eastAsia"/>
                <w:color w:val="000000"/>
                <w:kern w:val="0"/>
                <w:sz w:val="22"/>
                <w:lang w:bidi="ar"/>
              </w:rPr>
              <w:t>6.43</w:t>
            </w:r>
          </w:p>
        </w:tc>
      </w:tr>
      <w:tr w:rsidR="0059414D" w14:paraId="18D283FE" w14:textId="77777777">
        <w:tc>
          <w:tcPr>
            <w:tcW w:w="1378" w:type="pct"/>
            <w:vAlign w:val="bottom"/>
          </w:tcPr>
          <w:p w14:paraId="26EAFEF1"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2</w:t>
            </w:r>
          </w:p>
        </w:tc>
        <w:tc>
          <w:tcPr>
            <w:tcW w:w="1207" w:type="pct"/>
            <w:vAlign w:val="bottom"/>
          </w:tcPr>
          <w:p w14:paraId="20433394" w14:textId="77777777" w:rsidR="0059414D" w:rsidRDefault="008B1B4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w:t>
            </w:r>
            <w:r w:rsidR="0051453F">
              <w:rPr>
                <w:rFonts w:ascii="宋体" w:eastAsia="宋体" w:hAnsi="宋体" w:cs="宋体" w:hint="eastAsia"/>
                <w:color w:val="000000"/>
                <w:kern w:val="0"/>
                <w:sz w:val="22"/>
                <w:lang w:bidi="ar"/>
              </w:rPr>
              <w:t>.65</w:t>
            </w:r>
          </w:p>
        </w:tc>
        <w:tc>
          <w:tcPr>
            <w:tcW w:w="1207" w:type="pct"/>
            <w:vAlign w:val="bottom"/>
          </w:tcPr>
          <w:p w14:paraId="4D1E67F1" w14:textId="77777777" w:rsidR="0059414D" w:rsidRDefault="0051453F" w:rsidP="00A30535">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w:t>
            </w:r>
            <w:r w:rsidR="00A30535">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.72</w:t>
            </w:r>
          </w:p>
        </w:tc>
        <w:tc>
          <w:tcPr>
            <w:tcW w:w="1207" w:type="pct"/>
            <w:vAlign w:val="bottom"/>
          </w:tcPr>
          <w:p w14:paraId="228664B7" w14:textId="77777777" w:rsidR="0059414D" w:rsidRDefault="00A30535">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w:t>
            </w:r>
            <w:r w:rsidR="0051453F">
              <w:rPr>
                <w:rFonts w:ascii="宋体" w:eastAsia="宋体" w:hAnsi="宋体" w:cs="宋体" w:hint="eastAsia"/>
                <w:color w:val="000000"/>
                <w:kern w:val="0"/>
                <w:sz w:val="22"/>
                <w:lang w:bidi="ar"/>
              </w:rPr>
              <w:t>5.12</w:t>
            </w:r>
          </w:p>
        </w:tc>
      </w:tr>
      <w:tr w:rsidR="0059414D" w14:paraId="705B28CC" w14:textId="77777777">
        <w:tc>
          <w:tcPr>
            <w:tcW w:w="1378" w:type="pct"/>
            <w:vAlign w:val="bottom"/>
          </w:tcPr>
          <w:p w14:paraId="5F1E7400"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3</w:t>
            </w:r>
          </w:p>
        </w:tc>
        <w:tc>
          <w:tcPr>
            <w:tcW w:w="1207" w:type="pct"/>
            <w:vAlign w:val="bottom"/>
          </w:tcPr>
          <w:p w14:paraId="2E54FDD7" w14:textId="77777777" w:rsidR="0059414D" w:rsidRDefault="008B1B4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w:t>
            </w:r>
            <w:r w:rsidR="0051453F">
              <w:rPr>
                <w:rFonts w:ascii="宋体" w:eastAsia="宋体" w:hAnsi="宋体" w:cs="宋体" w:hint="eastAsia"/>
                <w:color w:val="000000"/>
                <w:kern w:val="0"/>
                <w:sz w:val="22"/>
                <w:lang w:bidi="ar"/>
              </w:rPr>
              <w:t>.57</w:t>
            </w:r>
          </w:p>
        </w:tc>
        <w:tc>
          <w:tcPr>
            <w:tcW w:w="1207" w:type="pct"/>
            <w:vAlign w:val="bottom"/>
          </w:tcPr>
          <w:p w14:paraId="0D9AF2C8" w14:textId="77777777" w:rsidR="0059414D" w:rsidRDefault="0051453F" w:rsidP="00A30535">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w:t>
            </w:r>
            <w:r w:rsidR="00A30535">
              <w:rPr>
                <w:rFonts w:ascii="宋体" w:eastAsia="宋体" w:hAnsi="宋体" w:cs="宋体" w:hint="eastAsia"/>
                <w:color w:val="000000"/>
                <w:kern w:val="0"/>
                <w:sz w:val="22"/>
                <w:lang w:bidi="ar"/>
              </w:rPr>
              <w:t>2</w:t>
            </w:r>
            <w:r>
              <w:rPr>
                <w:rFonts w:ascii="宋体" w:eastAsia="宋体" w:hAnsi="宋体" w:cs="宋体" w:hint="eastAsia"/>
                <w:color w:val="000000"/>
                <w:kern w:val="0"/>
                <w:sz w:val="22"/>
                <w:lang w:bidi="ar"/>
              </w:rPr>
              <w:t>.58</w:t>
            </w:r>
          </w:p>
        </w:tc>
        <w:tc>
          <w:tcPr>
            <w:tcW w:w="1207" w:type="pct"/>
            <w:vAlign w:val="bottom"/>
          </w:tcPr>
          <w:p w14:paraId="0C6095B0" w14:textId="77777777" w:rsidR="0059414D" w:rsidRDefault="00A30535">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w:t>
            </w:r>
            <w:r w:rsidR="0051453F">
              <w:rPr>
                <w:rFonts w:ascii="宋体" w:eastAsia="宋体" w:hAnsi="宋体" w:cs="宋体" w:hint="eastAsia"/>
                <w:color w:val="000000"/>
                <w:kern w:val="0"/>
                <w:sz w:val="22"/>
                <w:lang w:bidi="ar"/>
              </w:rPr>
              <w:t>5.38</w:t>
            </w:r>
          </w:p>
        </w:tc>
      </w:tr>
      <w:tr w:rsidR="0059414D" w14:paraId="01FD8AE3" w14:textId="77777777">
        <w:tc>
          <w:tcPr>
            <w:tcW w:w="1378" w:type="pct"/>
            <w:vAlign w:val="bottom"/>
          </w:tcPr>
          <w:p w14:paraId="74390C39" w14:textId="77777777" w:rsidR="0059414D" w:rsidRDefault="0051453F">
            <w:pPr>
              <w:widowControl/>
              <w:jc w:val="center"/>
              <w:textAlignment w:val="bottom"/>
              <w:rPr>
                <w:rFonts w:ascii="宋体" w:eastAsia="宋体" w:hAnsi="宋体" w:cs="宋体"/>
                <w:color w:val="000000"/>
                <w:kern w:val="0"/>
                <w:sz w:val="22"/>
                <w:lang w:bidi="ar"/>
              </w:rPr>
            </w:pPr>
            <w:r>
              <w:rPr>
                <w:rFonts w:ascii="宋体" w:eastAsia="宋体" w:hAnsi="宋体" w:cs="宋体" w:hint="eastAsia"/>
                <w:color w:val="000000"/>
                <w:kern w:val="0"/>
                <w:sz w:val="22"/>
                <w:lang w:bidi="ar"/>
              </w:rPr>
              <w:t>4</w:t>
            </w:r>
          </w:p>
        </w:tc>
        <w:tc>
          <w:tcPr>
            <w:tcW w:w="1207" w:type="pct"/>
            <w:vAlign w:val="bottom"/>
          </w:tcPr>
          <w:p w14:paraId="4B96D91F" w14:textId="77777777" w:rsidR="0059414D" w:rsidRDefault="008B1B4F" w:rsidP="008B1B4F">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w:t>
            </w:r>
            <w:r w:rsidR="0051453F">
              <w:rPr>
                <w:rFonts w:ascii="宋体" w:eastAsia="宋体" w:hAnsi="宋体" w:cs="宋体" w:hint="eastAsia"/>
                <w:color w:val="000000"/>
                <w:kern w:val="0"/>
                <w:sz w:val="22"/>
                <w:lang w:bidi="ar"/>
              </w:rPr>
              <w:t>.</w:t>
            </w:r>
            <w:r>
              <w:rPr>
                <w:rFonts w:ascii="宋体" w:eastAsia="宋体" w:hAnsi="宋体" w:cs="宋体" w:hint="eastAsia"/>
                <w:color w:val="000000"/>
                <w:kern w:val="0"/>
                <w:sz w:val="22"/>
                <w:lang w:bidi="ar"/>
              </w:rPr>
              <w:t>16</w:t>
            </w:r>
          </w:p>
        </w:tc>
        <w:tc>
          <w:tcPr>
            <w:tcW w:w="1207" w:type="pct"/>
            <w:vAlign w:val="bottom"/>
          </w:tcPr>
          <w:p w14:paraId="7514622F" w14:textId="77777777" w:rsidR="0059414D" w:rsidRDefault="008B1B4F" w:rsidP="00A30535">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1</w:t>
            </w:r>
            <w:r w:rsidR="00A30535">
              <w:rPr>
                <w:rFonts w:ascii="宋体" w:eastAsia="宋体" w:hAnsi="宋体" w:cs="宋体" w:hint="eastAsia"/>
                <w:color w:val="000000"/>
                <w:kern w:val="0"/>
                <w:sz w:val="22"/>
                <w:lang w:bidi="ar"/>
              </w:rPr>
              <w:t>1</w:t>
            </w:r>
            <w:r>
              <w:rPr>
                <w:rFonts w:ascii="宋体" w:eastAsia="宋体" w:hAnsi="宋体" w:cs="宋体" w:hint="eastAsia"/>
                <w:color w:val="000000"/>
                <w:kern w:val="0"/>
                <w:sz w:val="22"/>
                <w:lang w:bidi="ar"/>
              </w:rPr>
              <w:t>.70</w:t>
            </w:r>
          </w:p>
        </w:tc>
        <w:tc>
          <w:tcPr>
            <w:tcW w:w="1207" w:type="pct"/>
            <w:vAlign w:val="bottom"/>
          </w:tcPr>
          <w:p w14:paraId="2A07A2CE" w14:textId="77777777" w:rsidR="0059414D" w:rsidRDefault="00A30535">
            <w:pPr>
              <w:widowControl/>
              <w:jc w:val="center"/>
              <w:textAlignment w:val="bottom"/>
              <w:rPr>
                <w:rFonts w:ascii="Times New Roman" w:eastAsia="宋体" w:hAnsi="Times New Roman" w:cs="Times New Roman"/>
                <w:kern w:val="0"/>
                <w:szCs w:val="21"/>
              </w:rPr>
            </w:pPr>
            <w:r>
              <w:rPr>
                <w:rFonts w:ascii="宋体" w:eastAsia="宋体" w:hAnsi="宋体" w:cs="宋体" w:hint="eastAsia"/>
                <w:color w:val="000000"/>
                <w:kern w:val="0"/>
                <w:sz w:val="22"/>
                <w:lang w:bidi="ar"/>
              </w:rPr>
              <w:t>2</w:t>
            </w:r>
            <w:r w:rsidR="0051453F">
              <w:rPr>
                <w:rFonts w:ascii="宋体" w:eastAsia="宋体" w:hAnsi="宋体" w:cs="宋体" w:hint="eastAsia"/>
                <w:color w:val="000000"/>
                <w:kern w:val="0"/>
                <w:sz w:val="22"/>
                <w:lang w:bidi="ar"/>
              </w:rPr>
              <w:t>4.89</w:t>
            </w:r>
          </w:p>
        </w:tc>
      </w:tr>
    </w:tbl>
    <w:p w14:paraId="76C5D5F7" w14:textId="77777777" w:rsidR="0059414D" w:rsidRDefault="0059414D">
      <w:pPr>
        <w:ind w:firstLineChars="200" w:firstLine="420"/>
        <w:rPr>
          <w:rFonts w:ascii="Times New Roman" w:hAnsi="Times New Roman"/>
        </w:rPr>
      </w:pPr>
    </w:p>
    <w:p w14:paraId="1EAE6B15" w14:textId="77777777" w:rsidR="0059414D" w:rsidRDefault="0051453F">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由表</w:t>
      </w:r>
      <w:r w:rsidR="00A721D6">
        <w:rPr>
          <w:rFonts w:ascii="Times New Roman" w:eastAsia="宋体" w:hAnsi="Times New Roman" w:cs="Times New Roman" w:hint="eastAsia"/>
          <w:kern w:val="0"/>
          <w:szCs w:val="21"/>
        </w:rPr>
        <w:t>8</w:t>
      </w:r>
      <w:r w:rsidR="00A0789D">
        <w:rPr>
          <w:rFonts w:ascii="Times New Roman" w:eastAsia="宋体" w:hAnsi="Times New Roman" w:cs="Times New Roman" w:hint="eastAsia"/>
          <w:kern w:val="0"/>
          <w:szCs w:val="21"/>
        </w:rPr>
        <w:t>可知，随分子量的减小，腐植酸活性</w:t>
      </w:r>
      <w:r>
        <w:rPr>
          <w:rFonts w:ascii="Times New Roman" w:eastAsia="宋体" w:hAnsi="Times New Roman" w:cs="Times New Roman" w:hint="eastAsia"/>
          <w:kern w:val="0"/>
          <w:szCs w:val="21"/>
        </w:rPr>
        <w:t>指数</w:t>
      </w:r>
      <w:r w:rsidR="00A0789D">
        <w:rPr>
          <w:rFonts w:ascii="Times New Roman" w:eastAsia="宋体" w:hAnsi="Times New Roman" w:cs="Times New Roman" w:hint="eastAsia"/>
          <w:kern w:val="0"/>
          <w:szCs w:val="21"/>
        </w:rPr>
        <w:t>逐渐提高</w:t>
      </w:r>
      <w:r>
        <w:rPr>
          <w:rFonts w:ascii="Times New Roman" w:eastAsia="宋体" w:hAnsi="Times New Roman" w:cs="Times New Roman" w:hint="eastAsia"/>
          <w:kern w:val="0"/>
          <w:szCs w:val="21"/>
        </w:rPr>
        <w:t>。</w:t>
      </w:r>
      <w:r w:rsidR="00A30535">
        <w:rPr>
          <w:rFonts w:ascii="Times New Roman" w:eastAsia="宋体" w:hAnsi="Times New Roman" w:cs="Times New Roman" w:hint="eastAsia"/>
          <w:kern w:val="0"/>
          <w:szCs w:val="21"/>
        </w:rPr>
        <w:t>分子量较高时，测定的腐植酸活性指数均小于</w:t>
      </w:r>
      <w:r w:rsidR="00A30535">
        <w:rPr>
          <w:rFonts w:ascii="Times New Roman" w:eastAsia="宋体" w:hAnsi="Times New Roman" w:cs="Times New Roman" w:hint="eastAsia"/>
          <w:kern w:val="0"/>
          <w:szCs w:val="21"/>
        </w:rPr>
        <w:t>3%</w:t>
      </w:r>
      <w:r w:rsidR="00A30535">
        <w:rPr>
          <w:rFonts w:ascii="Times New Roman" w:eastAsia="宋体" w:hAnsi="Times New Roman" w:cs="Times New Roman" w:hint="eastAsia"/>
          <w:kern w:val="0"/>
          <w:szCs w:val="21"/>
        </w:rPr>
        <w:t>；中等分子量时，腐植酸活性指数范围</w:t>
      </w:r>
      <w:r w:rsidR="00A30535">
        <w:rPr>
          <w:rFonts w:ascii="Times New Roman" w:eastAsia="宋体" w:hAnsi="Times New Roman" w:cs="Times New Roman" w:hint="eastAsia"/>
          <w:kern w:val="0"/>
          <w:szCs w:val="21"/>
        </w:rPr>
        <w:t>11.7%~13.32%</w:t>
      </w:r>
      <w:r w:rsidR="00A30535">
        <w:rPr>
          <w:rFonts w:ascii="Times New Roman" w:eastAsia="宋体" w:hAnsi="Times New Roman" w:cs="Times New Roman" w:hint="eastAsia"/>
          <w:kern w:val="0"/>
          <w:szCs w:val="21"/>
        </w:rPr>
        <w:t>；低分子量时，腐植酸活性指数均超过</w:t>
      </w:r>
      <w:r w:rsidR="00A30535">
        <w:rPr>
          <w:rFonts w:ascii="Times New Roman" w:eastAsia="宋体" w:hAnsi="Times New Roman" w:cs="Times New Roman" w:hint="eastAsia"/>
          <w:kern w:val="0"/>
          <w:szCs w:val="21"/>
        </w:rPr>
        <w:t>20%</w:t>
      </w:r>
      <w:r w:rsidR="00A30535">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因此，腐植酸活化指数能够表征腐植酸产品中小分子量腐植酸含量的多少，从而反映腐植酸活性高低。</w:t>
      </w:r>
    </w:p>
    <w:p w14:paraId="244EC2E5"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9  </w:t>
      </w:r>
      <w:r>
        <w:rPr>
          <w:rFonts w:ascii="Times New Roman" w:hint="eastAsia"/>
        </w:rPr>
        <w:t>不同腐植酸（固体）样品含量测定结果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6E96466B" w14:textId="77777777">
        <w:trPr>
          <w:jc w:val="center"/>
        </w:trPr>
        <w:tc>
          <w:tcPr>
            <w:tcW w:w="2130" w:type="dxa"/>
          </w:tcPr>
          <w:p w14:paraId="7C97A2D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604F9954"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腐植酸</w:t>
            </w:r>
            <w:r w:rsidR="00FD5169">
              <w:rPr>
                <w:rFonts w:ascii="宋体" w:eastAsia="宋体" w:hAnsi="宋体" w:cs="宋体" w:hint="eastAsia"/>
                <w:color w:val="000000"/>
                <w:kern w:val="0"/>
                <w:sz w:val="22"/>
                <w:lang w:bidi="ar"/>
              </w:rPr>
              <w:t>活性</w:t>
            </w:r>
            <w:r>
              <w:rPr>
                <w:rFonts w:ascii="宋体" w:eastAsia="宋体" w:hAnsi="宋体" w:cs="宋体" w:hint="eastAsia"/>
                <w:color w:val="000000"/>
                <w:kern w:val="0"/>
                <w:sz w:val="22"/>
                <w:lang w:bidi="ar"/>
              </w:rPr>
              <w:t>指数%</w:t>
            </w:r>
          </w:p>
        </w:tc>
        <w:tc>
          <w:tcPr>
            <w:tcW w:w="2131" w:type="dxa"/>
          </w:tcPr>
          <w:p w14:paraId="68BA096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44077EBF"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活化腐植酸含量%</w:t>
            </w:r>
          </w:p>
        </w:tc>
      </w:tr>
      <w:tr w:rsidR="0059414D" w14:paraId="7540CD32" w14:textId="77777777">
        <w:trPr>
          <w:trHeight w:val="162"/>
          <w:jc w:val="center"/>
        </w:trPr>
        <w:tc>
          <w:tcPr>
            <w:tcW w:w="2130" w:type="dxa"/>
            <w:vAlign w:val="center"/>
          </w:tcPr>
          <w:p w14:paraId="1618595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bottom"/>
          </w:tcPr>
          <w:p w14:paraId="3F27B91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7.35</w:t>
            </w:r>
          </w:p>
        </w:tc>
        <w:tc>
          <w:tcPr>
            <w:tcW w:w="2131" w:type="dxa"/>
            <w:vAlign w:val="center"/>
          </w:tcPr>
          <w:p w14:paraId="71F39AF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11</w:t>
            </w:r>
          </w:p>
        </w:tc>
        <w:tc>
          <w:tcPr>
            <w:tcW w:w="2131" w:type="dxa"/>
            <w:vAlign w:val="center"/>
          </w:tcPr>
          <w:p w14:paraId="298BDA4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14.12</w:t>
            </w:r>
          </w:p>
        </w:tc>
      </w:tr>
      <w:tr w:rsidR="0059414D" w14:paraId="0318B6B9" w14:textId="77777777">
        <w:trPr>
          <w:jc w:val="center"/>
        </w:trPr>
        <w:tc>
          <w:tcPr>
            <w:tcW w:w="2130" w:type="dxa"/>
            <w:vAlign w:val="center"/>
          </w:tcPr>
          <w:p w14:paraId="520CF25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bottom"/>
          </w:tcPr>
          <w:p w14:paraId="55BA0B7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8.32</w:t>
            </w:r>
          </w:p>
        </w:tc>
        <w:tc>
          <w:tcPr>
            <w:tcW w:w="2131" w:type="dxa"/>
            <w:vAlign w:val="center"/>
          </w:tcPr>
          <w:p w14:paraId="5D57750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center"/>
          </w:tcPr>
          <w:p w14:paraId="7F3082D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7.89</w:t>
            </w:r>
          </w:p>
        </w:tc>
      </w:tr>
      <w:tr w:rsidR="0059414D" w14:paraId="62C76627" w14:textId="77777777">
        <w:trPr>
          <w:jc w:val="center"/>
        </w:trPr>
        <w:tc>
          <w:tcPr>
            <w:tcW w:w="2130" w:type="dxa"/>
            <w:vAlign w:val="center"/>
          </w:tcPr>
          <w:p w14:paraId="66267C4B" w14:textId="77777777" w:rsidR="0059414D" w:rsidRPr="00A721D6" w:rsidRDefault="0051453F">
            <w:pPr>
              <w:widowControl/>
              <w:jc w:val="center"/>
              <w:textAlignment w:val="bottom"/>
              <w:rPr>
                <w:rFonts w:ascii="Times New Roman" w:hAnsi="Times New Roman" w:cs="Times New Roman"/>
                <w:b/>
                <w:kern w:val="0"/>
                <w:szCs w:val="21"/>
              </w:rPr>
            </w:pPr>
            <w:r w:rsidRPr="00A721D6">
              <w:rPr>
                <w:rFonts w:ascii="宋体" w:eastAsia="宋体" w:hAnsi="宋体" w:cs="宋体" w:hint="eastAsia"/>
                <w:b/>
                <w:color w:val="000000"/>
                <w:kern w:val="0"/>
                <w:sz w:val="22"/>
                <w:lang w:bidi="ar"/>
              </w:rPr>
              <w:t>3</w:t>
            </w:r>
          </w:p>
        </w:tc>
        <w:tc>
          <w:tcPr>
            <w:tcW w:w="2130" w:type="dxa"/>
            <w:vAlign w:val="bottom"/>
          </w:tcPr>
          <w:p w14:paraId="6D7B4614" w14:textId="77777777" w:rsidR="0059414D" w:rsidRPr="00A721D6" w:rsidRDefault="0051453F">
            <w:pPr>
              <w:widowControl/>
              <w:jc w:val="center"/>
              <w:textAlignment w:val="bottom"/>
              <w:rPr>
                <w:rFonts w:ascii="Times New Roman" w:hAnsi="Times New Roman" w:cs="Times New Roman"/>
                <w:b/>
                <w:kern w:val="0"/>
                <w:szCs w:val="21"/>
              </w:rPr>
            </w:pPr>
            <w:r w:rsidRPr="00A721D6">
              <w:rPr>
                <w:rFonts w:ascii="Times New Roman" w:hAnsi="Times New Roman" w:cs="Times New Roman" w:hint="eastAsia"/>
                <w:b/>
                <w:kern w:val="0"/>
                <w:szCs w:val="21"/>
              </w:rPr>
              <w:t>6.87</w:t>
            </w:r>
          </w:p>
        </w:tc>
        <w:tc>
          <w:tcPr>
            <w:tcW w:w="2131" w:type="dxa"/>
            <w:vAlign w:val="center"/>
          </w:tcPr>
          <w:p w14:paraId="2D3C4F4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w:t>
            </w:r>
          </w:p>
        </w:tc>
        <w:tc>
          <w:tcPr>
            <w:tcW w:w="2131" w:type="dxa"/>
            <w:vAlign w:val="center"/>
          </w:tcPr>
          <w:p w14:paraId="7DB9FA6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7.66</w:t>
            </w:r>
          </w:p>
        </w:tc>
      </w:tr>
      <w:tr w:rsidR="0059414D" w14:paraId="0D41A6FB" w14:textId="77777777">
        <w:trPr>
          <w:jc w:val="center"/>
        </w:trPr>
        <w:tc>
          <w:tcPr>
            <w:tcW w:w="2130" w:type="dxa"/>
            <w:vAlign w:val="center"/>
          </w:tcPr>
          <w:p w14:paraId="16A6DD6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bottom"/>
          </w:tcPr>
          <w:p w14:paraId="1A87ABB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8.56</w:t>
            </w:r>
          </w:p>
        </w:tc>
        <w:tc>
          <w:tcPr>
            <w:tcW w:w="2131" w:type="dxa"/>
            <w:vAlign w:val="center"/>
          </w:tcPr>
          <w:p w14:paraId="61D2ED9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w:t>
            </w:r>
          </w:p>
        </w:tc>
        <w:tc>
          <w:tcPr>
            <w:tcW w:w="2131" w:type="dxa"/>
            <w:vAlign w:val="center"/>
          </w:tcPr>
          <w:p w14:paraId="73F15B1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8.56</w:t>
            </w:r>
          </w:p>
        </w:tc>
      </w:tr>
      <w:tr w:rsidR="0059414D" w14:paraId="62533761" w14:textId="77777777">
        <w:trPr>
          <w:jc w:val="center"/>
        </w:trPr>
        <w:tc>
          <w:tcPr>
            <w:tcW w:w="2130" w:type="dxa"/>
            <w:vAlign w:val="center"/>
          </w:tcPr>
          <w:p w14:paraId="2AAFA24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center"/>
          </w:tcPr>
          <w:p w14:paraId="2EF084D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9.36</w:t>
            </w:r>
          </w:p>
        </w:tc>
        <w:tc>
          <w:tcPr>
            <w:tcW w:w="2131" w:type="dxa"/>
            <w:vAlign w:val="center"/>
          </w:tcPr>
          <w:p w14:paraId="5C25BF5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15</w:t>
            </w:r>
          </w:p>
        </w:tc>
        <w:tc>
          <w:tcPr>
            <w:tcW w:w="2131" w:type="dxa"/>
            <w:vAlign w:val="center"/>
          </w:tcPr>
          <w:p w14:paraId="2F2966A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7.85</w:t>
            </w:r>
          </w:p>
        </w:tc>
      </w:tr>
      <w:tr w:rsidR="0059414D" w14:paraId="764C7C03" w14:textId="77777777">
        <w:trPr>
          <w:jc w:val="center"/>
        </w:trPr>
        <w:tc>
          <w:tcPr>
            <w:tcW w:w="2130" w:type="dxa"/>
            <w:vAlign w:val="center"/>
          </w:tcPr>
          <w:p w14:paraId="2D807EF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p>
        </w:tc>
        <w:tc>
          <w:tcPr>
            <w:tcW w:w="2130" w:type="dxa"/>
            <w:vAlign w:val="center"/>
          </w:tcPr>
          <w:p w14:paraId="3593DE2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7.27</w:t>
            </w:r>
          </w:p>
        </w:tc>
        <w:tc>
          <w:tcPr>
            <w:tcW w:w="2131" w:type="dxa"/>
            <w:vAlign w:val="center"/>
          </w:tcPr>
          <w:p w14:paraId="04BEC49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16</w:t>
            </w:r>
          </w:p>
        </w:tc>
        <w:tc>
          <w:tcPr>
            <w:tcW w:w="2131" w:type="dxa"/>
            <w:vAlign w:val="center"/>
          </w:tcPr>
          <w:p w14:paraId="25883B0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10.12</w:t>
            </w:r>
          </w:p>
        </w:tc>
      </w:tr>
      <w:tr w:rsidR="0059414D" w14:paraId="1B02833E" w14:textId="77777777">
        <w:trPr>
          <w:jc w:val="center"/>
        </w:trPr>
        <w:tc>
          <w:tcPr>
            <w:tcW w:w="2130" w:type="dxa"/>
            <w:vAlign w:val="center"/>
          </w:tcPr>
          <w:p w14:paraId="6F3E797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0" w:type="dxa"/>
            <w:vAlign w:val="center"/>
          </w:tcPr>
          <w:p w14:paraId="4AC5FC1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7.39</w:t>
            </w:r>
          </w:p>
        </w:tc>
        <w:tc>
          <w:tcPr>
            <w:tcW w:w="2131" w:type="dxa"/>
            <w:vAlign w:val="center"/>
          </w:tcPr>
          <w:p w14:paraId="28647A3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17</w:t>
            </w:r>
          </w:p>
        </w:tc>
        <w:tc>
          <w:tcPr>
            <w:tcW w:w="2131" w:type="dxa"/>
            <w:vAlign w:val="center"/>
          </w:tcPr>
          <w:p w14:paraId="31B22A0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8.78</w:t>
            </w:r>
          </w:p>
        </w:tc>
      </w:tr>
      <w:tr w:rsidR="0059414D" w14:paraId="352449F0" w14:textId="77777777">
        <w:trPr>
          <w:jc w:val="center"/>
        </w:trPr>
        <w:tc>
          <w:tcPr>
            <w:tcW w:w="2130" w:type="dxa"/>
            <w:vAlign w:val="center"/>
          </w:tcPr>
          <w:p w14:paraId="4A71A64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0" w:type="dxa"/>
            <w:vAlign w:val="center"/>
          </w:tcPr>
          <w:p w14:paraId="0505F4C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8.23</w:t>
            </w:r>
          </w:p>
        </w:tc>
        <w:tc>
          <w:tcPr>
            <w:tcW w:w="2131" w:type="dxa"/>
            <w:vAlign w:val="center"/>
          </w:tcPr>
          <w:p w14:paraId="508D169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18</w:t>
            </w:r>
          </w:p>
        </w:tc>
        <w:tc>
          <w:tcPr>
            <w:tcW w:w="2131" w:type="dxa"/>
            <w:vAlign w:val="center"/>
          </w:tcPr>
          <w:p w14:paraId="4FA9837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9.12</w:t>
            </w:r>
          </w:p>
        </w:tc>
      </w:tr>
      <w:tr w:rsidR="0059414D" w14:paraId="7A61977E" w14:textId="77777777">
        <w:trPr>
          <w:jc w:val="center"/>
        </w:trPr>
        <w:tc>
          <w:tcPr>
            <w:tcW w:w="2130" w:type="dxa"/>
            <w:vAlign w:val="center"/>
          </w:tcPr>
          <w:p w14:paraId="4C35456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0" w:type="dxa"/>
            <w:vAlign w:val="center"/>
          </w:tcPr>
          <w:p w14:paraId="32B3F8E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8.99</w:t>
            </w:r>
          </w:p>
        </w:tc>
        <w:tc>
          <w:tcPr>
            <w:tcW w:w="2131" w:type="dxa"/>
            <w:vAlign w:val="center"/>
          </w:tcPr>
          <w:p w14:paraId="3D616FA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19</w:t>
            </w:r>
          </w:p>
        </w:tc>
        <w:tc>
          <w:tcPr>
            <w:tcW w:w="2131" w:type="dxa"/>
            <w:vAlign w:val="center"/>
          </w:tcPr>
          <w:p w14:paraId="5E04D4B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8.44</w:t>
            </w:r>
          </w:p>
        </w:tc>
      </w:tr>
      <w:tr w:rsidR="0059414D" w14:paraId="3D34EC4B" w14:textId="77777777">
        <w:trPr>
          <w:jc w:val="center"/>
        </w:trPr>
        <w:tc>
          <w:tcPr>
            <w:tcW w:w="2130" w:type="dxa"/>
            <w:vAlign w:val="center"/>
          </w:tcPr>
          <w:p w14:paraId="0CFDB84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0" w:type="dxa"/>
            <w:vAlign w:val="center"/>
          </w:tcPr>
          <w:p w14:paraId="7C927CA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7.45</w:t>
            </w:r>
          </w:p>
        </w:tc>
        <w:tc>
          <w:tcPr>
            <w:tcW w:w="2131" w:type="dxa"/>
            <w:vAlign w:val="center"/>
          </w:tcPr>
          <w:p w14:paraId="1AC4700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20</w:t>
            </w:r>
          </w:p>
        </w:tc>
        <w:tc>
          <w:tcPr>
            <w:tcW w:w="2131" w:type="dxa"/>
            <w:vAlign w:val="center"/>
          </w:tcPr>
          <w:p w14:paraId="7D0B7FD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9.76</w:t>
            </w:r>
          </w:p>
        </w:tc>
      </w:tr>
    </w:tbl>
    <w:p w14:paraId="3259DD47" w14:textId="77777777" w:rsidR="0059414D" w:rsidRDefault="0059414D">
      <w:pPr>
        <w:adjustRightInd w:val="0"/>
        <w:snapToGrid w:val="0"/>
        <w:spacing w:afterLines="50" w:after="156" w:line="300" w:lineRule="auto"/>
        <w:rPr>
          <w:rFonts w:ascii="Times New Roman" w:hAnsi="Times New Roman" w:cs="Times New Roman"/>
          <w:kern w:val="0"/>
          <w:szCs w:val="21"/>
        </w:rPr>
      </w:pPr>
    </w:p>
    <w:p w14:paraId="3C8AB314"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10  </w:t>
      </w:r>
      <w:r>
        <w:rPr>
          <w:rFonts w:ascii="Times New Roman" w:hint="eastAsia"/>
        </w:rPr>
        <w:t>不同腐植酸（液体）样品含量测定结果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278E9A67" w14:textId="77777777">
        <w:trPr>
          <w:jc w:val="center"/>
        </w:trPr>
        <w:tc>
          <w:tcPr>
            <w:tcW w:w="2130" w:type="dxa"/>
          </w:tcPr>
          <w:p w14:paraId="3004C84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4284269B"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腐植酸</w:t>
            </w:r>
            <w:r w:rsidR="00FD5169">
              <w:rPr>
                <w:rFonts w:ascii="宋体" w:eastAsia="宋体" w:hAnsi="宋体" w:cs="宋体" w:hint="eastAsia"/>
                <w:color w:val="000000"/>
                <w:kern w:val="0"/>
                <w:sz w:val="22"/>
                <w:lang w:bidi="ar"/>
              </w:rPr>
              <w:t>活性</w:t>
            </w:r>
            <w:r>
              <w:rPr>
                <w:rFonts w:ascii="宋体" w:eastAsia="宋体" w:hAnsi="宋体" w:cs="宋体" w:hint="eastAsia"/>
                <w:color w:val="000000"/>
                <w:kern w:val="0"/>
                <w:sz w:val="22"/>
                <w:lang w:bidi="ar"/>
              </w:rPr>
              <w:t>指数%</w:t>
            </w:r>
          </w:p>
        </w:tc>
        <w:tc>
          <w:tcPr>
            <w:tcW w:w="2131" w:type="dxa"/>
          </w:tcPr>
          <w:p w14:paraId="62C9E7D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76D013A5"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活化腐植酸指数%</w:t>
            </w:r>
          </w:p>
        </w:tc>
      </w:tr>
      <w:tr w:rsidR="0059414D" w14:paraId="3991A20C" w14:textId="77777777">
        <w:trPr>
          <w:jc w:val="center"/>
        </w:trPr>
        <w:tc>
          <w:tcPr>
            <w:tcW w:w="2130" w:type="dxa"/>
            <w:vAlign w:val="center"/>
          </w:tcPr>
          <w:p w14:paraId="24C625D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center"/>
          </w:tcPr>
          <w:p w14:paraId="60A609A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7.78</w:t>
            </w:r>
          </w:p>
        </w:tc>
        <w:tc>
          <w:tcPr>
            <w:tcW w:w="2131" w:type="dxa"/>
            <w:vAlign w:val="center"/>
          </w:tcPr>
          <w:p w14:paraId="5CCC80F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1" w:type="dxa"/>
            <w:vAlign w:val="center"/>
          </w:tcPr>
          <w:p w14:paraId="2C7C59E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7.44</w:t>
            </w:r>
          </w:p>
        </w:tc>
      </w:tr>
      <w:tr w:rsidR="0059414D" w14:paraId="75E003EF" w14:textId="77777777">
        <w:trPr>
          <w:jc w:val="center"/>
        </w:trPr>
        <w:tc>
          <w:tcPr>
            <w:tcW w:w="2130" w:type="dxa"/>
            <w:vAlign w:val="center"/>
          </w:tcPr>
          <w:p w14:paraId="230289D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center"/>
          </w:tcPr>
          <w:p w14:paraId="336FC58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16.32</w:t>
            </w:r>
          </w:p>
        </w:tc>
        <w:tc>
          <w:tcPr>
            <w:tcW w:w="2131" w:type="dxa"/>
            <w:vAlign w:val="center"/>
          </w:tcPr>
          <w:p w14:paraId="61F937D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1" w:type="dxa"/>
            <w:vAlign w:val="center"/>
          </w:tcPr>
          <w:p w14:paraId="30DEFEC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13.22</w:t>
            </w:r>
          </w:p>
        </w:tc>
      </w:tr>
      <w:tr w:rsidR="0059414D" w14:paraId="5AF48F1C" w14:textId="77777777">
        <w:trPr>
          <w:jc w:val="center"/>
        </w:trPr>
        <w:tc>
          <w:tcPr>
            <w:tcW w:w="2130" w:type="dxa"/>
            <w:vAlign w:val="center"/>
          </w:tcPr>
          <w:p w14:paraId="2E03CF2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w:t>
            </w:r>
          </w:p>
        </w:tc>
        <w:tc>
          <w:tcPr>
            <w:tcW w:w="2130" w:type="dxa"/>
            <w:vAlign w:val="center"/>
          </w:tcPr>
          <w:p w14:paraId="632ED13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9.23</w:t>
            </w:r>
          </w:p>
        </w:tc>
        <w:tc>
          <w:tcPr>
            <w:tcW w:w="2131" w:type="dxa"/>
            <w:vAlign w:val="center"/>
          </w:tcPr>
          <w:p w14:paraId="161D718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1" w:type="dxa"/>
            <w:vAlign w:val="center"/>
          </w:tcPr>
          <w:p w14:paraId="0299A25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7.86</w:t>
            </w:r>
          </w:p>
        </w:tc>
      </w:tr>
      <w:tr w:rsidR="0059414D" w14:paraId="7E721831" w14:textId="77777777">
        <w:trPr>
          <w:jc w:val="center"/>
        </w:trPr>
        <w:tc>
          <w:tcPr>
            <w:tcW w:w="2130" w:type="dxa"/>
            <w:vAlign w:val="center"/>
          </w:tcPr>
          <w:p w14:paraId="7322F9E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center"/>
          </w:tcPr>
          <w:p w14:paraId="1FDA879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9.44</w:t>
            </w:r>
          </w:p>
        </w:tc>
        <w:tc>
          <w:tcPr>
            <w:tcW w:w="2131" w:type="dxa"/>
            <w:vAlign w:val="center"/>
          </w:tcPr>
          <w:p w14:paraId="1D8F550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1" w:type="dxa"/>
            <w:vAlign w:val="center"/>
          </w:tcPr>
          <w:p w14:paraId="1EBE1D2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7.38</w:t>
            </w:r>
          </w:p>
        </w:tc>
      </w:tr>
      <w:tr w:rsidR="0059414D" w14:paraId="00F39BF8" w14:textId="77777777">
        <w:trPr>
          <w:jc w:val="center"/>
        </w:trPr>
        <w:tc>
          <w:tcPr>
            <w:tcW w:w="2130" w:type="dxa"/>
            <w:vAlign w:val="center"/>
          </w:tcPr>
          <w:p w14:paraId="7A170FA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center"/>
          </w:tcPr>
          <w:p w14:paraId="61BF68D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7.45</w:t>
            </w:r>
          </w:p>
        </w:tc>
        <w:tc>
          <w:tcPr>
            <w:tcW w:w="2131" w:type="dxa"/>
            <w:vAlign w:val="center"/>
          </w:tcPr>
          <w:p w14:paraId="07258907" w14:textId="77777777" w:rsidR="0059414D" w:rsidRPr="00A721D6" w:rsidRDefault="0051453F">
            <w:pPr>
              <w:widowControl/>
              <w:jc w:val="center"/>
              <w:textAlignment w:val="bottom"/>
              <w:rPr>
                <w:rFonts w:ascii="Times New Roman" w:hAnsi="Times New Roman" w:cs="Times New Roman"/>
                <w:b/>
                <w:kern w:val="0"/>
                <w:szCs w:val="21"/>
              </w:rPr>
            </w:pPr>
            <w:r w:rsidRPr="00A721D6">
              <w:rPr>
                <w:rFonts w:ascii="宋体" w:eastAsia="宋体" w:hAnsi="宋体" w:cs="宋体" w:hint="eastAsia"/>
                <w:b/>
                <w:color w:val="000000"/>
                <w:kern w:val="0"/>
                <w:sz w:val="22"/>
                <w:lang w:bidi="ar"/>
              </w:rPr>
              <w:t>11</w:t>
            </w:r>
          </w:p>
        </w:tc>
        <w:tc>
          <w:tcPr>
            <w:tcW w:w="2131" w:type="dxa"/>
            <w:vAlign w:val="center"/>
          </w:tcPr>
          <w:p w14:paraId="46067642" w14:textId="77777777" w:rsidR="0059414D" w:rsidRPr="00A721D6" w:rsidRDefault="0051453F">
            <w:pPr>
              <w:widowControl/>
              <w:jc w:val="center"/>
              <w:textAlignment w:val="bottom"/>
              <w:rPr>
                <w:rFonts w:ascii="Times New Roman" w:hAnsi="Times New Roman" w:cs="Times New Roman"/>
                <w:b/>
                <w:kern w:val="0"/>
                <w:szCs w:val="21"/>
              </w:rPr>
            </w:pPr>
            <w:r w:rsidRPr="00A721D6">
              <w:rPr>
                <w:rFonts w:ascii="宋体" w:eastAsia="宋体" w:hAnsi="宋体" w:cs="宋体" w:hint="eastAsia"/>
                <w:b/>
                <w:color w:val="000000"/>
                <w:kern w:val="0"/>
                <w:sz w:val="22"/>
                <w:lang w:bidi="ar"/>
              </w:rPr>
              <w:t>6.71</w:t>
            </w:r>
          </w:p>
        </w:tc>
      </w:tr>
      <w:tr w:rsidR="0059414D" w14:paraId="4E63B5A2" w14:textId="77777777">
        <w:trPr>
          <w:jc w:val="center"/>
        </w:trPr>
        <w:tc>
          <w:tcPr>
            <w:tcW w:w="2130" w:type="dxa"/>
            <w:vAlign w:val="center"/>
          </w:tcPr>
          <w:p w14:paraId="1CB3325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p>
        </w:tc>
        <w:tc>
          <w:tcPr>
            <w:tcW w:w="2130" w:type="dxa"/>
            <w:vAlign w:val="center"/>
          </w:tcPr>
          <w:p w14:paraId="219F04C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7.67</w:t>
            </w:r>
          </w:p>
        </w:tc>
        <w:tc>
          <w:tcPr>
            <w:tcW w:w="2131" w:type="dxa"/>
            <w:vAlign w:val="center"/>
          </w:tcPr>
          <w:p w14:paraId="6C863A9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center"/>
          </w:tcPr>
          <w:p w14:paraId="7482863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7.95</w:t>
            </w:r>
          </w:p>
        </w:tc>
      </w:tr>
    </w:tbl>
    <w:p w14:paraId="623BF6F8" w14:textId="77777777" w:rsidR="0059414D" w:rsidRDefault="0051453F">
      <w:pPr>
        <w:adjustRightInd w:val="0"/>
        <w:snapToGrid w:val="0"/>
        <w:spacing w:afterLines="50" w:after="156"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测定了</w:t>
      </w:r>
      <w:r>
        <w:rPr>
          <w:rFonts w:ascii="Times New Roman" w:eastAsia="宋体" w:hAnsi="Times New Roman" w:cs="Times New Roman" w:hint="eastAsia"/>
          <w:kern w:val="0"/>
          <w:szCs w:val="21"/>
        </w:rPr>
        <w:t>20</w:t>
      </w:r>
      <w:r>
        <w:rPr>
          <w:rFonts w:ascii="Times New Roman" w:eastAsia="宋体" w:hAnsi="Times New Roman" w:cs="Times New Roman" w:hint="eastAsia"/>
          <w:kern w:val="0"/>
          <w:szCs w:val="21"/>
        </w:rPr>
        <w:t>个不同固体腐植酸样品</w:t>
      </w:r>
      <w:r w:rsidR="00D8663F">
        <w:rPr>
          <w:rFonts w:ascii="Times New Roman" w:eastAsia="宋体" w:hAnsi="Times New Roman" w:cs="Times New Roman" w:hint="eastAsia"/>
          <w:kern w:val="0"/>
          <w:szCs w:val="21"/>
        </w:rPr>
        <w:t>（表</w:t>
      </w:r>
      <w:r w:rsidR="00D8663F">
        <w:rPr>
          <w:rFonts w:ascii="Times New Roman" w:eastAsia="宋体" w:hAnsi="Times New Roman" w:cs="Times New Roman" w:hint="eastAsia"/>
          <w:kern w:val="0"/>
          <w:szCs w:val="21"/>
        </w:rPr>
        <w:t>9</w:t>
      </w:r>
      <w:r w:rsidR="00D8663F">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w:t>
      </w:r>
      <w:r w:rsidR="00FD5169">
        <w:rPr>
          <w:rFonts w:ascii="Times New Roman" w:eastAsia="宋体" w:hAnsi="Times New Roman" w:cs="Times New Roman" w:hint="eastAsia"/>
          <w:kern w:val="0"/>
          <w:szCs w:val="21"/>
        </w:rPr>
        <w:t>腐植酸活性指数从</w:t>
      </w:r>
      <w:r w:rsidR="00FD5169">
        <w:rPr>
          <w:rFonts w:ascii="Times New Roman" w:eastAsia="宋体" w:hAnsi="Times New Roman" w:cs="Times New Roman" w:hint="eastAsia"/>
          <w:kern w:val="0"/>
          <w:szCs w:val="21"/>
        </w:rPr>
        <w:t>6.87%-14.12%</w:t>
      </w:r>
      <w:r w:rsidR="00FD5169">
        <w:rPr>
          <w:rFonts w:ascii="Times New Roman" w:eastAsia="宋体" w:hAnsi="Times New Roman" w:cs="Times New Roman" w:hint="eastAsia"/>
          <w:kern w:val="0"/>
          <w:szCs w:val="21"/>
        </w:rPr>
        <w:t>，平均值为</w:t>
      </w:r>
      <w:r w:rsidR="00FD5169">
        <w:rPr>
          <w:rFonts w:ascii="Times New Roman" w:eastAsia="宋体" w:hAnsi="Times New Roman" w:cs="Times New Roman" w:hint="eastAsia"/>
          <w:kern w:val="0"/>
          <w:szCs w:val="21"/>
        </w:rPr>
        <w:t>8.60</w:t>
      </w:r>
      <w:r w:rsidR="000D353C">
        <w:rPr>
          <w:rFonts w:ascii="Times New Roman" w:eastAsia="宋体" w:hAnsi="Times New Roman" w:cs="Times New Roman" w:hint="eastAsia"/>
          <w:kern w:val="0"/>
          <w:szCs w:val="21"/>
        </w:rPr>
        <w:t>%</w:t>
      </w:r>
      <w:r w:rsidR="000D353C">
        <w:rPr>
          <w:rFonts w:ascii="Times New Roman" w:eastAsia="宋体" w:hAnsi="Times New Roman" w:cs="Times New Roman" w:hint="eastAsia"/>
          <w:kern w:val="0"/>
          <w:szCs w:val="21"/>
        </w:rPr>
        <w:t>。＜</w:t>
      </w:r>
      <w:r w:rsidR="000D353C">
        <w:rPr>
          <w:rFonts w:ascii="Times New Roman" w:eastAsia="宋体" w:hAnsi="Times New Roman" w:cs="Times New Roman" w:hint="eastAsia"/>
          <w:kern w:val="0"/>
          <w:szCs w:val="21"/>
        </w:rPr>
        <w:t>8%</w:t>
      </w:r>
      <w:r w:rsidR="000D353C">
        <w:rPr>
          <w:rFonts w:ascii="Times New Roman" w:eastAsia="宋体" w:hAnsi="Times New Roman" w:cs="Times New Roman" w:hint="eastAsia"/>
          <w:kern w:val="0"/>
          <w:szCs w:val="21"/>
        </w:rPr>
        <w:t>的固体样品有</w:t>
      </w:r>
      <w:r w:rsidR="000D353C">
        <w:rPr>
          <w:rFonts w:ascii="Times New Roman" w:eastAsia="宋体" w:hAnsi="Times New Roman" w:cs="Times New Roman" w:hint="eastAsia"/>
          <w:kern w:val="0"/>
          <w:szCs w:val="21"/>
        </w:rPr>
        <w:t>8</w:t>
      </w:r>
      <w:r w:rsidR="000D353C">
        <w:rPr>
          <w:rFonts w:ascii="Times New Roman" w:eastAsia="宋体" w:hAnsi="Times New Roman" w:cs="Times New Roman" w:hint="eastAsia"/>
          <w:kern w:val="0"/>
          <w:szCs w:val="21"/>
        </w:rPr>
        <w:t>个，占总数的</w:t>
      </w:r>
      <w:r w:rsidR="000D353C">
        <w:rPr>
          <w:rFonts w:ascii="Times New Roman" w:eastAsia="宋体" w:hAnsi="Times New Roman" w:cs="Times New Roman" w:hint="eastAsia"/>
          <w:kern w:val="0"/>
          <w:szCs w:val="21"/>
        </w:rPr>
        <w:t>40%</w:t>
      </w:r>
      <w:r w:rsidR="000D353C">
        <w:rPr>
          <w:rFonts w:ascii="Times New Roman" w:eastAsia="宋体" w:hAnsi="Times New Roman" w:cs="Times New Roman" w:hint="eastAsia"/>
          <w:kern w:val="0"/>
          <w:szCs w:val="21"/>
        </w:rPr>
        <w:t>。</w:t>
      </w:r>
      <w:r w:rsidR="00FD5169">
        <w:rPr>
          <w:rFonts w:ascii="Times New Roman" w:eastAsia="宋体" w:hAnsi="Times New Roman" w:cs="Times New Roman" w:hint="eastAsia"/>
          <w:kern w:val="0"/>
          <w:szCs w:val="21"/>
        </w:rPr>
        <w:t>测定</w:t>
      </w:r>
      <w:r>
        <w:rPr>
          <w:rFonts w:ascii="Times New Roman" w:eastAsia="宋体" w:hAnsi="Times New Roman" w:cs="Times New Roman" w:hint="eastAsia"/>
          <w:kern w:val="0"/>
          <w:szCs w:val="21"/>
        </w:rPr>
        <w:t>12</w:t>
      </w:r>
      <w:r>
        <w:rPr>
          <w:rFonts w:ascii="Times New Roman" w:eastAsia="宋体" w:hAnsi="Times New Roman" w:cs="Times New Roman" w:hint="eastAsia"/>
          <w:kern w:val="0"/>
          <w:szCs w:val="21"/>
        </w:rPr>
        <w:t>个液体腐植酸样品</w:t>
      </w:r>
      <w:r w:rsidR="00D8663F">
        <w:rPr>
          <w:rFonts w:ascii="Times New Roman" w:eastAsia="宋体" w:hAnsi="Times New Roman" w:cs="Times New Roman" w:hint="eastAsia"/>
          <w:kern w:val="0"/>
          <w:szCs w:val="21"/>
        </w:rPr>
        <w:t>（表</w:t>
      </w:r>
      <w:r w:rsidR="00D8663F">
        <w:rPr>
          <w:rFonts w:ascii="Times New Roman" w:eastAsia="宋体" w:hAnsi="Times New Roman" w:cs="Times New Roman" w:hint="eastAsia"/>
          <w:kern w:val="0"/>
          <w:szCs w:val="21"/>
        </w:rPr>
        <w:t>10</w:t>
      </w:r>
      <w:r w:rsidR="00D8663F">
        <w:rPr>
          <w:rFonts w:ascii="Times New Roman" w:eastAsia="宋体" w:hAnsi="Times New Roman" w:cs="Times New Roman" w:hint="eastAsia"/>
          <w:kern w:val="0"/>
          <w:szCs w:val="21"/>
        </w:rPr>
        <w:t>）</w:t>
      </w:r>
      <w:r w:rsidR="00FD5169">
        <w:rPr>
          <w:rFonts w:ascii="Times New Roman" w:eastAsia="宋体" w:hAnsi="Times New Roman" w:cs="Times New Roman" w:hint="eastAsia"/>
          <w:kern w:val="0"/>
          <w:szCs w:val="21"/>
        </w:rPr>
        <w:t>，腐植酸活性指数从</w:t>
      </w:r>
      <w:r w:rsidR="000D353C">
        <w:rPr>
          <w:rFonts w:ascii="Times New Roman" w:eastAsia="宋体" w:hAnsi="Times New Roman" w:cs="Times New Roman" w:hint="eastAsia"/>
          <w:kern w:val="0"/>
          <w:szCs w:val="21"/>
        </w:rPr>
        <w:t>6.71%-16.32%</w:t>
      </w:r>
      <w:r w:rsidR="000D353C">
        <w:rPr>
          <w:rFonts w:ascii="Times New Roman" w:eastAsia="宋体" w:hAnsi="Times New Roman" w:cs="Times New Roman" w:hint="eastAsia"/>
          <w:kern w:val="0"/>
          <w:szCs w:val="21"/>
        </w:rPr>
        <w:t>，平均值为</w:t>
      </w:r>
      <w:r w:rsidR="000D353C">
        <w:rPr>
          <w:rFonts w:ascii="Times New Roman" w:eastAsia="宋体" w:hAnsi="Times New Roman" w:cs="Times New Roman" w:hint="eastAsia"/>
          <w:kern w:val="0"/>
          <w:szCs w:val="21"/>
        </w:rPr>
        <w:t>9.04%</w:t>
      </w:r>
      <w:r w:rsidR="000D353C">
        <w:rPr>
          <w:rFonts w:ascii="Times New Roman" w:eastAsia="宋体" w:hAnsi="Times New Roman" w:cs="Times New Roman" w:hint="eastAsia"/>
          <w:kern w:val="0"/>
          <w:szCs w:val="21"/>
        </w:rPr>
        <w:t>。</w:t>
      </w:r>
      <w:r w:rsidR="0053305D">
        <w:rPr>
          <w:rFonts w:ascii="Times New Roman" w:eastAsia="宋体" w:hAnsi="Times New Roman" w:cs="Times New Roman" w:hint="eastAsia"/>
          <w:kern w:val="0"/>
          <w:szCs w:val="21"/>
        </w:rPr>
        <w:t>＜</w:t>
      </w:r>
      <w:r w:rsidR="0053305D">
        <w:rPr>
          <w:rFonts w:ascii="Times New Roman" w:eastAsia="宋体" w:hAnsi="Times New Roman" w:cs="Times New Roman" w:hint="eastAsia"/>
          <w:kern w:val="0"/>
          <w:szCs w:val="21"/>
        </w:rPr>
        <w:t>8%</w:t>
      </w:r>
      <w:r w:rsidR="0053305D">
        <w:rPr>
          <w:rFonts w:ascii="Times New Roman" w:eastAsia="宋体" w:hAnsi="Times New Roman" w:cs="Times New Roman" w:hint="eastAsia"/>
          <w:kern w:val="0"/>
          <w:szCs w:val="21"/>
        </w:rPr>
        <w:t>的液体样品有</w:t>
      </w:r>
      <w:r w:rsidR="0053305D">
        <w:rPr>
          <w:rFonts w:ascii="Times New Roman" w:eastAsia="宋体" w:hAnsi="Times New Roman" w:cs="Times New Roman" w:hint="eastAsia"/>
          <w:kern w:val="0"/>
          <w:szCs w:val="21"/>
        </w:rPr>
        <w:t>8</w:t>
      </w:r>
      <w:r w:rsidR="0053305D">
        <w:rPr>
          <w:rFonts w:ascii="Times New Roman" w:eastAsia="宋体" w:hAnsi="Times New Roman" w:cs="Times New Roman" w:hint="eastAsia"/>
          <w:kern w:val="0"/>
          <w:szCs w:val="21"/>
        </w:rPr>
        <w:t>个，占总数的</w:t>
      </w:r>
      <w:r w:rsidR="0053305D">
        <w:rPr>
          <w:rFonts w:ascii="Times New Roman" w:eastAsia="宋体" w:hAnsi="Times New Roman" w:cs="Times New Roman" w:hint="eastAsia"/>
          <w:kern w:val="0"/>
          <w:szCs w:val="21"/>
        </w:rPr>
        <w:t>66.7%</w:t>
      </w:r>
      <w:r w:rsidR="0053305D">
        <w:rPr>
          <w:rFonts w:ascii="Times New Roman" w:eastAsia="宋体" w:hAnsi="Times New Roman" w:cs="Times New Roman" w:hint="eastAsia"/>
          <w:kern w:val="0"/>
          <w:szCs w:val="21"/>
        </w:rPr>
        <w:t>。</w:t>
      </w:r>
      <w:r w:rsidR="000D353C">
        <w:rPr>
          <w:rFonts w:ascii="Times New Roman" w:eastAsia="宋体" w:hAnsi="Times New Roman" w:cs="Times New Roman" w:hint="eastAsia"/>
          <w:kern w:val="0"/>
          <w:szCs w:val="21"/>
        </w:rPr>
        <w:t>总体看，所有样品中，</w:t>
      </w:r>
      <w:r>
        <w:rPr>
          <w:rFonts w:ascii="Times New Roman" w:eastAsia="宋体" w:hAnsi="Times New Roman" w:cs="Times New Roman" w:hint="eastAsia"/>
          <w:kern w:val="0"/>
          <w:szCs w:val="21"/>
        </w:rPr>
        <w:t>仅有</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个产品活性腐植酸指数＜</w:t>
      </w:r>
      <w:r>
        <w:rPr>
          <w:rFonts w:ascii="Times New Roman" w:eastAsia="宋体" w:hAnsi="Times New Roman" w:cs="Times New Roman" w:hint="eastAsia"/>
          <w:kern w:val="0"/>
          <w:szCs w:val="21"/>
        </w:rPr>
        <w:t>7.0%</w:t>
      </w:r>
      <w:r w:rsidR="000D353C">
        <w:rPr>
          <w:rFonts w:ascii="Times New Roman" w:eastAsia="宋体" w:hAnsi="Times New Roman" w:cs="Times New Roman" w:hint="eastAsia"/>
          <w:kern w:val="0"/>
          <w:szCs w:val="21"/>
        </w:rPr>
        <w:t>；＜</w:t>
      </w:r>
      <w:r w:rsidR="000D353C">
        <w:rPr>
          <w:rFonts w:ascii="Times New Roman" w:eastAsia="宋体" w:hAnsi="Times New Roman" w:cs="Times New Roman" w:hint="eastAsia"/>
          <w:kern w:val="0"/>
          <w:szCs w:val="21"/>
        </w:rPr>
        <w:t>8%</w:t>
      </w:r>
      <w:r w:rsidR="000D353C">
        <w:rPr>
          <w:rFonts w:ascii="Times New Roman" w:eastAsia="宋体" w:hAnsi="Times New Roman" w:cs="Times New Roman" w:hint="eastAsia"/>
          <w:kern w:val="0"/>
          <w:szCs w:val="21"/>
        </w:rPr>
        <w:t>的样品有</w:t>
      </w:r>
      <w:r w:rsidR="000D353C">
        <w:rPr>
          <w:rFonts w:ascii="Times New Roman" w:eastAsia="宋体" w:hAnsi="Times New Roman" w:cs="Times New Roman" w:hint="eastAsia"/>
          <w:kern w:val="0"/>
          <w:szCs w:val="21"/>
        </w:rPr>
        <w:t>16</w:t>
      </w:r>
      <w:r w:rsidR="000D353C">
        <w:rPr>
          <w:rFonts w:ascii="Times New Roman" w:eastAsia="宋体" w:hAnsi="Times New Roman" w:cs="Times New Roman" w:hint="eastAsia"/>
          <w:kern w:val="0"/>
          <w:szCs w:val="21"/>
        </w:rPr>
        <w:t>个，占总样品数的</w:t>
      </w:r>
      <w:r w:rsidR="000D353C">
        <w:rPr>
          <w:rFonts w:ascii="Times New Roman" w:eastAsia="宋体" w:hAnsi="Times New Roman" w:cs="Times New Roman" w:hint="eastAsia"/>
          <w:kern w:val="0"/>
          <w:szCs w:val="21"/>
        </w:rPr>
        <w:t>50%</w:t>
      </w:r>
      <w:r w:rsidR="000D353C">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综合考虑</w:t>
      </w:r>
      <w:r w:rsidR="000D353C">
        <w:rPr>
          <w:rFonts w:ascii="Times New Roman" w:eastAsia="宋体" w:hAnsi="Times New Roman" w:cs="Times New Roman" w:hint="eastAsia"/>
          <w:kern w:val="0"/>
          <w:szCs w:val="21"/>
        </w:rPr>
        <w:t>样品测试和</w:t>
      </w:r>
      <w:r w:rsidR="00A0789D">
        <w:rPr>
          <w:rFonts w:ascii="Times New Roman" w:eastAsia="宋体" w:hAnsi="Times New Roman" w:cs="Times New Roman" w:hint="eastAsia"/>
          <w:kern w:val="0"/>
          <w:szCs w:val="21"/>
        </w:rPr>
        <w:t>不同分子量腐植酸活性指数（表</w:t>
      </w:r>
      <w:r w:rsidR="00A0789D">
        <w:rPr>
          <w:rFonts w:ascii="Times New Roman" w:eastAsia="宋体" w:hAnsi="Times New Roman" w:cs="Times New Roman" w:hint="eastAsia"/>
          <w:kern w:val="0"/>
          <w:szCs w:val="21"/>
        </w:rPr>
        <w:t>8</w:t>
      </w:r>
      <w:r w:rsidR="00A0789D">
        <w:rPr>
          <w:rFonts w:ascii="Times New Roman" w:eastAsia="宋体" w:hAnsi="Times New Roman" w:cs="Times New Roman" w:hint="eastAsia"/>
          <w:kern w:val="0"/>
          <w:szCs w:val="21"/>
        </w:rPr>
        <w:t>）</w:t>
      </w:r>
      <w:r w:rsidR="000D353C">
        <w:rPr>
          <w:rFonts w:ascii="Times New Roman" w:eastAsia="宋体" w:hAnsi="Times New Roman" w:cs="Times New Roman" w:hint="eastAsia"/>
          <w:kern w:val="0"/>
          <w:szCs w:val="21"/>
        </w:rPr>
        <w:t>分析结果</w:t>
      </w:r>
      <w:r>
        <w:rPr>
          <w:rFonts w:ascii="Times New Roman" w:eastAsia="宋体" w:hAnsi="Times New Roman" w:cs="Times New Roman" w:hint="eastAsia"/>
          <w:kern w:val="0"/>
          <w:szCs w:val="21"/>
        </w:rPr>
        <w:t>，</w:t>
      </w:r>
      <w:r w:rsidRPr="000D353C">
        <w:rPr>
          <w:rFonts w:ascii="Times New Roman" w:eastAsia="宋体" w:hAnsi="Times New Roman" w:cs="Times New Roman" w:hint="eastAsia"/>
          <w:kern w:val="0"/>
          <w:szCs w:val="21"/>
        </w:rPr>
        <w:t>将</w:t>
      </w:r>
      <w:r w:rsidRPr="000D353C">
        <w:rPr>
          <w:rFonts w:ascii="Times New Roman" w:eastAsia="宋体" w:hAnsi="Times New Roman" w:cs="Times New Roman" w:hint="eastAsia"/>
          <w:kern w:val="0"/>
          <w:szCs w:val="21"/>
        </w:rPr>
        <w:lastRenderedPageBreak/>
        <w:t>7.0%</w:t>
      </w:r>
      <w:r w:rsidR="000D353C" w:rsidRPr="000D353C">
        <w:rPr>
          <w:rFonts w:ascii="Times New Roman" w:eastAsia="宋体" w:hAnsi="Times New Roman" w:cs="Times New Roman" w:hint="eastAsia"/>
          <w:kern w:val="0"/>
          <w:szCs w:val="21"/>
        </w:rPr>
        <w:t>作</w:t>
      </w:r>
      <w:r w:rsidRPr="000D353C">
        <w:rPr>
          <w:rFonts w:ascii="Times New Roman" w:eastAsia="宋体" w:hAnsi="Times New Roman" w:cs="Times New Roman" w:hint="eastAsia"/>
          <w:kern w:val="0"/>
          <w:szCs w:val="21"/>
        </w:rPr>
        <w:t>为</w:t>
      </w:r>
      <w:r>
        <w:rPr>
          <w:rFonts w:ascii="Times New Roman" w:eastAsia="宋体" w:hAnsi="Times New Roman" w:cs="Times New Roman" w:hint="eastAsia"/>
          <w:kern w:val="0"/>
          <w:szCs w:val="21"/>
        </w:rPr>
        <w:t>增效剂腐植酸产品的活性腐植酸指数指标最低值。</w:t>
      </w:r>
    </w:p>
    <w:p w14:paraId="317E703F"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、腐植酸</w:t>
      </w:r>
      <w:r>
        <w:rPr>
          <w:rFonts w:ascii="Times New Roman" w:hAnsi="Times New Roman" w:cs="Times New Roman" w:hint="eastAsia"/>
        </w:rPr>
        <w:t>水分含量限值的确定</w:t>
      </w:r>
    </w:p>
    <w:p w14:paraId="5AA4E6CB" w14:textId="77777777" w:rsidR="0059414D" w:rsidRDefault="0051453F">
      <w:pPr>
        <w:adjustRightInd w:val="0"/>
        <w:snapToGrid w:val="0"/>
        <w:spacing w:line="300" w:lineRule="auto"/>
        <w:ind w:firstLine="435"/>
        <w:jc w:val="left"/>
        <w:rPr>
          <w:rFonts w:ascii="Times New Roman"/>
        </w:rPr>
      </w:pPr>
      <w:r>
        <w:rPr>
          <w:rFonts w:ascii="Times New Roman" w:hint="eastAsia"/>
        </w:rPr>
        <w:t>参照</w:t>
      </w:r>
      <w:r>
        <w:rPr>
          <w:rFonts w:ascii="Times New Roman" w:hint="eastAsia"/>
        </w:rPr>
        <w:t>GB/T 8576</w:t>
      </w:r>
      <w:r>
        <w:rPr>
          <w:rFonts w:ascii="Times New Roman" w:hint="eastAsia"/>
        </w:rPr>
        <w:t>测定样品中的水分含量。</w:t>
      </w:r>
    </w:p>
    <w:p w14:paraId="0336E5A6"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11  </w:t>
      </w:r>
      <w:r>
        <w:rPr>
          <w:rFonts w:ascii="Times New Roman" w:hint="eastAsia"/>
        </w:rPr>
        <w:t>不同腐植酸（固体）样品水分含量测定结果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55734185" w14:textId="77777777">
        <w:trPr>
          <w:jc w:val="center"/>
        </w:trPr>
        <w:tc>
          <w:tcPr>
            <w:tcW w:w="2130" w:type="dxa"/>
          </w:tcPr>
          <w:p w14:paraId="6C14B3FE" w14:textId="77777777" w:rsidR="0059414D" w:rsidRDefault="0051453F" w:rsidP="00D8663F">
            <w:pPr>
              <w:widowControl/>
              <w:adjustRightInd w:val="0"/>
              <w:snapToGrid w:val="0"/>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714A1B4C" w14:textId="77777777" w:rsidR="0059414D" w:rsidRDefault="0051453F" w:rsidP="00D8663F">
            <w:pPr>
              <w:adjustRightInd w:val="0"/>
              <w:snapToGrid w:val="0"/>
              <w:spacing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水分含量%</w:t>
            </w:r>
          </w:p>
        </w:tc>
        <w:tc>
          <w:tcPr>
            <w:tcW w:w="2131" w:type="dxa"/>
          </w:tcPr>
          <w:p w14:paraId="43062579" w14:textId="77777777" w:rsidR="0059414D" w:rsidRDefault="0051453F" w:rsidP="00D8663F">
            <w:pPr>
              <w:widowControl/>
              <w:adjustRightInd w:val="0"/>
              <w:snapToGrid w:val="0"/>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5DD87E54" w14:textId="77777777" w:rsidR="0059414D" w:rsidRDefault="0051453F" w:rsidP="00D8663F">
            <w:pPr>
              <w:adjustRightInd w:val="0"/>
              <w:snapToGrid w:val="0"/>
              <w:spacing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水分含量%</w:t>
            </w:r>
          </w:p>
        </w:tc>
      </w:tr>
      <w:tr w:rsidR="0059414D" w14:paraId="454F1AAF" w14:textId="77777777">
        <w:trPr>
          <w:jc w:val="center"/>
        </w:trPr>
        <w:tc>
          <w:tcPr>
            <w:tcW w:w="2130" w:type="dxa"/>
            <w:vAlign w:val="center"/>
          </w:tcPr>
          <w:p w14:paraId="41A55F7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bottom"/>
          </w:tcPr>
          <w:p w14:paraId="004C0B0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25.99</w:t>
            </w:r>
          </w:p>
        </w:tc>
        <w:tc>
          <w:tcPr>
            <w:tcW w:w="2131" w:type="dxa"/>
            <w:vAlign w:val="center"/>
          </w:tcPr>
          <w:p w14:paraId="0050119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11</w:t>
            </w:r>
          </w:p>
        </w:tc>
        <w:tc>
          <w:tcPr>
            <w:tcW w:w="2131" w:type="dxa"/>
            <w:vAlign w:val="bottom"/>
          </w:tcPr>
          <w:p w14:paraId="1ABFA5F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4.37</w:t>
            </w:r>
          </w:p>
        </w:tc>
      </w:tr>
      <w:tr w:rsidR="0059414D" w14:paraId="3E473FF3" w14:textId="77777777">
        <w:trPr>
          <w:jc w:val="center"/>
        </w:trPr>
        <w:tc>
          <w:tcPr>
            <w:tcW w:w="2130" w:type="dxa"/>
            <w:vAlign w:val="center"/>
          </w:tcPr>
          <w:p w14:paraId="06BF8C9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bottom"/>
          </w:tcPr>
          <w:p w14:paraId="7D8088D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12.85</w:t>
            </w:r>
          </w:p>
        </w:tc>
        <w:tc>
          <w:tcPr>
            <w:tcW w:w="2131" w:type="dxa"/>
            <w:vAlign w:val="center"/>
          </w:tcPr>
          <w:p w14:paraId="470F7F9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bottom"/>
          </w:tcPr>
          <w:p w14:paraId="389EC70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6.77</w:t>
            </w:r>
          </w:p>
        </w:tc>
      </w:tr>
      <w:tr w:rsidR="0059414D" w14:paraId="3DA963E4" w14:textId="77777777">
        <w:trPr>
          <w:jc w:val="center"/>
        </w:trPr>
        <w:tc>
          <w:tcPr>
            <w:tcW w:w="2130" w:type="dxa"/>
            <w:vAlign w:val="center"/>
          </w:tcPr>
          <w:p w14:paraId="4E6D1B4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w:t>
            </w:r>
          </w:p>
        </w:tc>
        <w:tc>
          <w:tcPr>
            <w:tcW w:w="2130" w:type="dxa"/>
            <w:vAlign w:val="bottom"/>
          </w:tcPr>
          <w:p w14:paraId="4ABC500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19.41</w:t>
            </w:r>
          </w:p>
        </w:tc>
        <w:tc>
          <w:tcPr>
            <w:tcW w:w="2131" w:type="dxa"/>
            <w:vAlign w:val="center"/>
          </w:tcPr>
          <w:p w14:paraId="35560EB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w:t>
            </w:r>
          </w:p>
        </w:tc>
        <w:tc>
          <w:tcPr>
            <w:tcW w:w="2131" w:type="dxa"/>
            <w:vAlign w:val="bottom"/>
          </w:tcPr>
          <w:p w14:paraId="417EEF2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5.48</w:t>
            </w:r>
          </w:p>
        </w:tc>
      </w:tr>
      <w:tr w:rsidR="0059414D" w14:paraId="59C60B36" w14:textId="77777777">
        <w:trPr>
          <w:jc w:val="center"/>
        </w:trPr>
        <w:tc>
          <w:tcPr>
            <w:tcW w:w="2130" w:type="dxa"/>
            <w:vAlign w:val="center"/>
          </w:tcPr>
          <w:p w14:paraId="2669E89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bottom"/>
          </w:tcPr>
          <w:p w14:paraId="480BA1C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14.08</w:t>
            </w:r>
          </w:p>
        </w:tc>
        <w:tc>
          <w:tcPr>
            <w:tcW w:w="2131" w:type="dxa"/>
            <w:vAlign w:val="center"/>
          </w:tcPr>
          <w:p w14:paraId="0149EB0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w:t>
            </w:r>
          </w:p>
        </w:tc>
        <w:tc>
          <w:tcPr>
            <w:tcW w:w="2131" w:type="dxa"/>
            <w:vAlign w:val="bottom"/>
          </w:tcPr>
          <w:p w14:paraId="0BC9DA3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10.24</w:t>
            </w:r>
          </w:p>
        </w:tc>
      </w:tr>
      <w:tr w:rsidR="0059414D" w14:paraId="040E3D0F" w14:textId="77777777">
        <w:trPr>
          <w:jc w:val="center"/>
        </w:trPr>
        <w:tc>
          <w:tcPr>
            <w:tcW w:w="2130" w:type="dxa"/>
            <w:vAlign w:val="center"/>
          </w:tcPr>
          <w:p w14:paraId="1DA8ECA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bottom"/>
          </w:tcPr>
          <w:p w14:paraId="748C60B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13.73</w:t>
            </w:r>
          </w:p>
        </w:tc>
        <w:tc>
          <w:tcPr>
            <w:tcW w:w="2131" w:type="dxa"/>
            <w:vAlign w:val="center"/>
          </w:tcPr>
          <w:p w14:paraId="4868463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15</w:t>
            </w:r>
          </w:p>
        </w:tc>
        <w:tc>
          <w:tcPr>
            <w:tcW w:w="2131" w:type="dxa"/>
            <w:vAlign w:val="bottom"/>
          </w:tcPr>
          <w:p w14:paraId="6359B8A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11.32</w:t>
            </w:r>
          </w:p>
        </w:tc>
      </w:tr>
      <w:tr w:rsidR="0059414D" w14:paraId="668F92D9" w14:textId="77777777">
        <w:trPr>
          <w:jc w:val="center"/>
        </w:trPr>
        <w:tc>
          <w:tcPr>
            <w:tcW w:w="2130" w:type="dxa"/>
            <w:vAlign w:val="center"/>
          </w:tcPr>
          <w:p w14:paraId="3149201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p>
        </w:tc>
        <w:tc>
          <w:tcPr>
            <w:tcW w:w="2130" w:type="dxa"/>
            <w:vAlign w:val="bottom"/>
          </w:tcPr>
          <w:p w14:paraId="5D621D8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10.78</w:t>
            </w:r>
          </w:p>
        </w:tc>
        <w:tc>
          <w:tcPr>
            <w:tcW w:w="2131" w:type="dxa"/>
            <w:vAlign w:val="center"/>
          </w:tcPr>
          <w:p w14:paraId="18139CD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16</w:t>
            </w:r>
          </w:p>
        </w:tc>
        <w:tc>
          <w:tcPr>
            <w:tcW w:w="2131" w:type="dxa"/>
            <w:vAlign w:val="bottom"/>
          </w:tcPr>
          <w:p w14:paraId="43747A9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16.65</w:t>
            </w:r>
          </w:p>
        </w:tc>
      </w:tr>
      <w:tr w:rsidR="0059414D" w14:paraId="69696A05" w14:textId="77777777">
        <w:trPr>
          <w:jc w:val="center"/>
        </w:trPr>
        <w:tc>
          <w:tcPr>
            <w:tcW w:w="2130" w:type="dxa"/>
            <w:vAlign w:val="center"/>
          </w:tcPr>
          <w:p w14:paraId="2D017E2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0" w:type="dxa"/>
            <w:vAlign w:val="bottom"/>
          </w:tcPr>
          <w:p w14:paraId="2D525B0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8.54</w:t>
            </w:r>
          </w:p>
        </w:tc>
        <w:tc>
          <w:tcPr>
            <w:tcW w:w="2131" w:type="dxa"/>
            <w:vAlign w:val="center"/>
          </w:tcPr>
          <w:p w14:paraId="4B7B6E8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17</w:t>
            </w:r>
          </w:p>
        </w:tc>
        <w:tc>
          <w:tcPr>
            <w:tcW w:w="2131" w:type="dxa"/>
            <w:vAlign w:val="bottom"/>
          </w:tcPr>
          <w:p w14:paraId="594C912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27.32</w:t>
            </w:r>
          </w:p>
        </w:tc>
      </w:tr>
      <w:tr w:rsidR="0059414D" w14:paraId="7DC2CD1A" w14:textId="77777777">
        <w:trPr>
          <w:jc w:val="center"/>
        </w:trPr>
        <w:tc>
          <w:tcPr>
            <w:tcW w:w="2130" w:type="dxa"/>
            <w:vAlign w:val="center"/>
          </w:tcPr>
          <w:p w14:paraId="0C152E6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0" w:type="dxa"/>
            <w:vAlign w:val="bottom"/>
          </w:tcPr>
          <w:p w14:paraId="23A16D6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8.82</w:t>
            </w:r>
          </w:p>
        </w:tc>
        <w:tc>
          <w:tcPr>
            <w:tcW w:w="2131" w:type="dxa"/>
            <w:vAlign w:val="center"/>
          </w:tcPr>
          <w:p w14:paraId="02EDB47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18</w:t>
            </w:r>
          </w:p>
        </w:tc>
        <w:tc>
          <w:tcPr>
            <w:tcW w:w="2131" w:type="dxa"/>
            <w:vAlign w:val="bottom"/>
          </w:tcPr>
          <w:p w14:paraId="7430589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22.13</w:t>
            </w:r>
          </w:p>
        </w:tc>
      </w:tr>
      <w:tr w:rsidR="0059414D" w14:paraId="6DEA9AC8" w14:textId="77777777">
        <w:trPr>
          <w:jc w:val="center"/>
        </w:trPr>
        <w:tc>
          <w:tcPr>
            <w:tcW w:w="2130" w:type="dxa"/>
            <w:vAlign w:val="center"/>
          </w:tcPr>
          <w:p w14:paraId="35435D2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0" w:type="dxa"/>
            <w:vAlign w:val="bottom"/>
          </w:tcPr>
          <w:p w14:paraId="74595AA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4.25</w:t>
            </w:r>
          </w:p>
        </w:tc>
        <w:tc>
          <w:tcPr>
            <w:tcW w:w="2131" w:type="dxa"/>
            <w:vAlign w:val="center"/>
          </w:tcPr>
          <w:p w14:paraId="22F7054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19</w:t>
            </w:r>
          </w:p>
        </w:tc>
        <w:tc>
          <w:tcPr>
            <w:tcW w:w="2131" w:type="dxa"/>
            <w:vAlign w:val="bottom"/>
          </w:tcPr>
          <w:p w14:paraId="7991EAD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7.45</w:t>
            </w:r>
          </w:p>
        </w:tc>
      </w:tr>
      <w:tr w:rsidR="0059414D" w14:paraId="05C08759" w14:textId="77777777">
        <w:trPr>
          <w:jc w:val="center"/>
        </w:trPr>
        <w:tc>
          <w:tcPr>
            <w:tcW w:w="2130" w:type="dxa"/>
            <w:vAlign w:val="center"/>
          </w:tcPr>
          <w:p w14:paraId="5C40EDD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0" w:type="dxa"/>
            <w:vAlign w:val="bottom"/>
          </w:tcPr>
          <w:p w14:paraId="41F1C67F" w14:textId="77777777" w:rsidR="0059414D" w:rsidRDefault="0051453F">
            <w:pPr>
              <w:widowControl/>
              <w:jc w:val="center"/>
              <w:textAlignment w:val="bottom"/>
              <w:rPr>
                <w:rFonts w:ascii="宋体" w:eastAsia="宋体" w:hAnsi="宋体" w:cs="宋体"/>
                <w:color w:val="000000"/>
                <w:sz w:val="22"/>
              </w:rPr>
            </w:pPr>
            <w:r>
              <w:rPr>
                <w:rFonts w:ascii="宋体" w:eastAsia="宋体" w:hAnsi="宋体" w:cs="宋体" w:hint="eastAsia"/>
                <w:color w:val="000000"/>
                <w:kern w:val="0"/>
                <w:sz w:val="22"/>
                <w:lang w:bidi="ar"/>
              </w:rPr>
              <w:t>11.55</w:t>
            </w:r>
          </w:p>
        </w:tc>
        <w:tc>
          <w:tcPr>
            <w:tcW w:w="2131" w:type="dxa"/>
            <w:vAlign w:val="center"/>
          </w:tcPr>
          <w:p w14:paraId="7358CB1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20</w:t>
            </w:r>
          </w:p>
        </w:tc>
        <w:tc>
          <w:tcPr>
            <w:tcW w:w="2131" w:type="dxa"/>
            <w:vAlign w:val="bottom"/>
          </w:tcPr>
          <w:p w14:paraId="3074A3E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6.85</w:t>
            </w:r>
          </w:p>
        </w:tc>
      </w:tr>
    </w:tbl>
    <w:p w14:paraId="46151E2C" w14:textId="77777777" w:rsidR="0059414D" w:rsidRDefault="0051453F">
      <w:pPr>
        <w:autoSpaceDE w:val="0"/>
        <w:autoSpaceDN w:val="0"/>
        <w:adjustRightInd w:val="0"/>
        <w:snapToGrid w:val="0"/>
        <w:spacing w:line="30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测定了</w:t>
      </w:r>
      <w:r>
        <w:rPr>
          <w:rFonts w:ascii="Times New Roman" w:eastAsia="宋体" w:hAnsi="Times New Roman" w:cs="Times New Roman" w:hint="eastAsia"/>
          <w:kern w:val="0"/>
          <w:szCs w:val="21"/>
        </w:rPr>
        <w:t>20</w:t>
      </w:r>
      <w:r w:rsidR="00280BD3">
        <w:rPr>
          <w:rFonts w:ascii="Times New Roman" w:eastAsia="宋体" w:hAnsi="Times New Roman" w:cs="Times New Roman" w:hint="eastAsia"/>
          <w:kern w:val="0"/>
          <w:szCs w:val="21"/>
        </w:rPr>
        <w:t>个固体</w:t>
      </w:r>
      <w:r>
        <w:rPr>
          <w:rFonts w:ascii="Times New Roman" w:eastAsia="宋体" w:hAnsi="Times New Roman" w:cs="Times New Roman" w:hint="eastAsia"/>
          <w:kern w:val="0"/>
          <w:szCs w:val="21"/>
        </w:rPr>
        <w:t>腐植酸样品</w:t>
      </w:r>
      <w:r w:rsidR="00D8663F">
        <w:rPr>
          <w:rFonts w:ascii="Times New Roman" w:eastAsia="宋体" w:hAnsi="Times New Roman" w:cs="Times New Roman" w:hint="eastAsia"/>
          <w:kern w:val="0"/>
          <w:szCs w:val="21"/>
        </w:rPr>
        <w:t>（表</w:t>
      </w:r>
      <w:r w:rsidR="00D8663F">
        <w:rPr>
          <w:rFonts w:ascii="Times New Roman" w:eastAsia="宋体" w:hAnsi="Times New Roman" w:cs="Times New Roman" w:hint="eastAsia"/>
          <w:kern w:val="0"/>
          <w:szCs w:val="21"/>
        </w:rPr>
        <w:t>11</w:t>
      </w:r>
      <w:r w:rsidR="00D8663F">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w:t>
      </w:r>
      <w:r w:rsidR="00280BD3">
        <w:rPr>
          <w:rFonts w:ascii="Times New Roman" w:eastAsia="宋体" w:hAnsi="Times New Roman" w:cs="Times New Roman" w:hint="eastAsia"/>
          <w:kern w:val="0"/>
          <w:szCs w:val="21"/>
        </w:rPr>
        <w:t>含水量范围在</w:t>
      </w:r>
      <w:r w:rsidR="00280BD3">
        <w:rPr>
          <w:rFonts w:ascii="Times New Roman" w:eastAsia="宋体" w:hAnsi="Times New Roman" w:cs="Times New Roman" w:hint="eastAsia"/>
          <w:kern w:val="0"/>
          <w:szCs w:val="21"/>
        </w:rPr>
        <w:t>4.25%-27.32%</w:t>
      </w:r>
      <w:r w:rsidR="00280BD3">
        <w:rPr>
          <w:rFonts w:ascii="Times New Roman" w:eastAsia="宋体" w:hAnsi="Times New Roman" w:cs="Times New Roman" w:hint="eastAsia"/>
          <w:kern w:val="0"/>
          <w:szCs w:val="21"/>
        </w:rPr>
        <w:t>，平均</w:t>
      </w:r>
      <w:r w:rsidR="00280BD3">
        <w:rPr>
          <w:rFonts w:ascii="Times New Roman" w:eastAsia="宋体" w:hAnsi="Times New Roman" w:cs="Times New Roman" w:hint="eastAsia"/>
          <w:kern w:val="0"/>
          <w:szCs w:val="21"/>
        </w:rPr>
        <w:t>12.43%</w:t>
      </w:r>
      <w:r w:rsidR="00280BD3">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有</w:t>
      </w:r>
      <w:r w:rsidR="00280BD3">
        <w:rPr>
          <w:rFonts w:ascii="Times New Roman" w:eastAsia="宋体" w:hAnsi="Times New Roman" w:cs="Times New Roman" w:hint="eastAsia"/>
          <w:kern w:val="0"/>
          <w:szCs w:val="21"/>
        </w:rPr>
        <w:t>17</w:t>
      </w:r>
      <w:r>
        <w:rPr>
          <w:rFonts w:ascii="Times New Roman" w:eastAsia="宋体" w:hAnsi="Times New Roman" w:cs="Times New Roman" w:hint="eastAsia"/>
          <w:kern w:val="0"/>
          <w:szCs w:val="21"/>
        </w:rPr>
        <w:t>个产品含水量</w:t>
      </w:r>
      <w:r w:rsidR="00280BD3">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20%</w:t>
      </w:r>
      <w:r>
        <w:rPr>
          <w:rFonts w:ascii="Times New Roman" w:eastAsia="宋体" w:hAnsi="Times New Roman" w:cs="Times New Roman" w:hint="eastAsia"/>
          <w:kern w:val="0"/>
          <w:szCs w:val="21"/>
        </w:rPr>
        <w:t>，</w:t>
      </w:r>
      <w:r w:rsidR="00280BD3">
        <w:rPr>
          <w:rFonts w:ascii="Times New Roman" w:eastAsia="宋体" w:hAnsi="Times New Roman" w:cs="Times New Roman" w:hint="eastAsia"/>
          <w:kern w:val="0"/>
          <w:szCs w:val="21"/>
        </w:rPr>
        <w:t>占总量的</w:t>
      </w:r>
      <w:r w:rsidR="00280BD3">
        <w:rPr>
          <w:rFonts w:ascii="Times New Roman" w:eastAsia="宋体" w:hAnsi="Times New Roman" w:cs="Times New Roman" w:hint="eastAsia"/>
          <w:kern w:val="0"/>
          <w:szCs w:val="21"/>
        </w:rPr>
        <w:t>85%</w:t>
      </w:r>
      <w:r w:rsidR="00280BD3">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本标准将含水量</w:t>
      </w:r>
      <w:r>
        <w:rPr>
          <w:rFonts w:ascii="Times New Roman" w:eastAsia="宋体" w:hAnsi="Times New Roman" w:cs="Times New Roman" w:hint="eastAsia"/>
          <w:kern w:val="0"/>
          <w:szCs w:val="21"/>
        </w:rPr>
        <w:t>20%</w:t>
      </w:r>
      <w:r>
        <w:rPr>
          <w:rFonts w:ascii="Times New Roman" w:eastAsia="宋体" w:hAnsi="Times New Roman" w:cs="Times New Roman" w:hint="eastAsia"/>
          <w:kern w:val="0"/>
          <w:szCs w:val="21"/>
        </w:rPr>
        <w:t>为增效剂腐植酸产品的含量指标上限值。</w:t>
      </w:r>
    </w:p>
    <w:p w14:paraId="33336AB5" w14:textId="77777777" w:rsidR="0059414D" w:rsidRDefault="0051453F">
      <w:pPr>
        <w:adjustRightInd w:val="0"/>
        <w:snapToGrid w:val="0"/>
        <w:spacing w:line="300" w:lineRule="auto"/>
        <w:rPr>
          <w:rFonts w:ascii="Times New Roman"/>
        </w:rPr>
      </w:pPr>
      <w:r>
        <w:rPr>
          <w:rFonts w:ascii="Times New Roman" w:hAnsi="Times New Roman" w:cs="Times New Roman" w:hint="eastAsia"/>
        </w:rPr>
        <w:t>4</w:t>
      </w:r>
      <w:r>
        <w:rPr>
          <w:rFonts w:ascii="Times New Roman" w:hAnsi="Times New Roman" w:cs="Times New Roman"/>
        </w:rPr>
        <w:t>、腐植酸</w:t>
      </w:r>
      <w:r>
        <w:rPr>
          <w:rFonts w:ascii="Times New Roman" w:hAnsi="Times New Roman" w:cs="Times New Roman" w:hint="eastAsia"/>
        </w:rPr>
        <w:t>水不溶物含量限值的确定</w:t>
      </w:r>
    </w:p>
    <w:p w14:paraId="56916ABC"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12  </w:t>
      </w:r>
      <w:r>
        <w:rPr>
          <w:rFonts w:ascii="Times New Roman" w:hint="eastAsia"/>
        </w:rPr>
        <w:t>不同腐植酸（固体）样品水不溶物含量测定结果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504112A5" w14:textId="77777777">
        <w:trPr>
          <w:jc w:val="center"/>
        </w:trPr>
        <w:tc>
          <w:tcPr>
            <w:tcW w:w="2130" w:type="dxa"/>
          </w:tcPr>
          <w:p w14:paraId="23B884F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78D2BDD1"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水不溶物含量%</w:t>
            </w:r>
          </w:p>
        </w:tc>
        <w:tc>
          <w:tcPr>
            <w:tcW w:w="2131" w:type="dxa"/>
          </w:tcPr>
          <w:p w14:paraId="47C8E7F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017713D9"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水不溶物含量%</w:t>
            </w:r>
          </w:p>
        </w:tc>
      </w:tr>
      <w:tr w:rsidR="0059414D" w14:paraId="6EB622DD" w14:textId="77777777">
        <w:trPr>
          <w:jc w:val="center"/>
        </w:trPr>
        <w:tc>
          <w:tcPr>
            <w:tcW w:w="2130" w:type="dxa"/>
            <w:vAlign w:val="center"/>
          </w:tcPr>
          <w:p w14:paraId="6B75213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bottom"/>
          </w:tcPr>
          <w:p w14:paraId="078898D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2.45</w:t>
            </w:r>
          </w:p>
        </w:tc>
        <w:tc>
          <w:tcPr>
            <w:tcW w:w="2131" w:type="dxa"/>
            <w:vAlign w:val="center"/>
          </w:tcPr>
          <w:p w14:paraId="1E5C6A2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11</w:t>
            </w:r>
          </w:p>
        </w:tc>
        <w:tc>
          <w:tcPr>
            <w:tcW w:w="2131" w:type="dxa"/>
            <w:vAlign w:val="bottom"/>
          </w:tcPr>
          <w:p w14:paraId="5A61A2F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0.23</w:t>
            </w:r>
          </w:p>
        </w:tc>
      </w:tr>
      <w:tr w:rsidR="0059414D" w14:paraId="28410199" w14:textId="77777777">
        <w:trPr>
          <w:jc w:val="center"/>
        </w:trPr>
        <w:tc>
          <w:tcPr>
            <w:tcW w:w="2130" w:type="dxa"/>
            <w:vAlign w:val="center"/>
          </w:tcPr>
          <w:p w14:paraId="5C64748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bottom"/>
          </w:tcPr>
          <w:p w14:paraId="14D6CC1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1.33</w:t>
            </w:r>
          </w:p>
        </w:tc>
        <w:tc>
          <w:tcPr>
            <w:tcW w:w="2131" w:type="dxa"/>
            <w:vAlign w:val="center"/>
          </w:tcPr>
          <w:p w14:paraId="0F60438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bottom"/>
          </w:tcPr>
          <w:p w14:paraId="7B0C771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3.23</w:t>
            </w:r>
          </w:p>
        </w:tc>
      </w:tr>
      <w:tr w:rsidR="0059414D" w14:paraId="170ED81D" w14:textId="77777777">
        <w:trPr>
          <w:jc w:val="center"/>
        </w:trPr>
        <w:tc>
          <w:tcPr>
            <w:tcW w:w="2130" w:type="dxa"/>
            <w:vAlign w:val="center"/>
          </w:tcPr>
          <w:p w14:paraId="60E7216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w:t>
            </w:r>
          </w:p>
        </w:tc>
        <w:tc>
          <w:tcPr>
            <w:tcW w:w="2130" w:type="dxa"/>
            <w:vAlign w:val="bottom"/>
          </w:tcPr>
          <w:p w14:paraId="1DFA1A1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0.77</w:t>
            </w:r>
          </w:p>
        </w:tc>
        <w:tc>
          <w:tcPr>
            <w:tcW w:w="2131" w:type="dxa"/>
            <w:vAlign w:val="center"/>
          </w:tcPr>
          <w:p w14:paraId="1EC7560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w:t>
            </w:r>
          </w:p>
        </w:tc>
        <w:tc>
          <w:tcPr>
            <w:tcW w:w="2131" w:type="dxa"/>
            <w:vAlign w:val="bottom"/>
          </w:tcPr>
          <w:p w14:paraId="603CC99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17.45</w:t>
            </w:r>
          </w:p>
        </w:tc>
      </w:tr>
      <w:tr w:rsidR="0059414D" w14:paraId="0FE74A66" w14:textId="77777777">
        <w:trPr>
          <w:jc w:val="center"/>
        </w:trPr>
        <w:tc>
          <w:tcPr>
            <w:tcW w:w="2130" w:type="dxa"/>
            <w:vAlign w:val="center"/>
          </w:tcPr>
          <w:p w14:paraId="2F8588B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bottom"/>
          </w:tcPr>
          <w:p w14:paraId="30DB509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2.18</w:t>
            </w:r>
          </w:p>
        </w:tc>
        <w:tc>
          <w:tcPr>
            <w:tcW w:w="2131" w:type="dxa"/>
            <w:vAlign w:val="center"/>
          </w:tcPr>
          <w:p w14:paraId="68B0795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w:t>
            </w:r>
          </w:p>
        </w:tc>
        <w:tc>
          <w:tcPr>
            <w:tcW w:w="2131" w:type="dxa"/>
            <w:vAlign w:val="bottom"/>
          </w:tcPr>
          <w:p w14:paraId="552BE46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0.57</w:t>
            </w:r>
          </w:p>
        </w:tc>
      </w:tr>
      <w:tr w:rsidR="0059414D" w14:paraId="5529E417" w14:textId="77777777">
        <w:trPr>
          <w:jc w:val="center"/>
        </w:trPr>
        <w:tc>
          <w:tcPr>
            <w:tcW w:w="2130" w:type="dxa"/>
            <w:vAlign w:val="center"/>
          </w:tcPr>
          <w:p w14:paraId="371DD6E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bottom"/>
          </w:tcPr>
          <w:p w14:paraId="0EC9A64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5.66</w:t>
            </w:r>
          </w:p>
        </w:tc>
        <w:tc>
          <w:tcPr>
            <w:tcW w:w="2131" w:type="dxa"/>
            <w:vAlign w:val="center"/>
          </w:tcPr>
          <w:p w14:paraId="68FC7CC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15</w:t>
            </w:r>
          </w:p>
        </w:tc>
        <w:tc>
          <w:tcPr>
            <w:tcW w:w="2131" w:type="dxa"/>
            <w:vAlign w:val="bottom"/>
          </w:tcPr>
          <w:p w14:paraId="394CDF9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20.67</w:t>
            </w:r>
          </w:p>
        </w:tc>
      </w:tr>
      <w:tr w:rsidR="0059414D" w14:paraId="48194497" w14:textId="77777777">
        <w:trPr>
          <w:jc w:val="center"/>
        </w:trPr>
        <w:tc>
          <w:tcPr>
            <w:tcW w:w="2130" w:type="dxa"/>
            <w:vAlign w:val="center"/>
          </w:tcPr>
          <w:p w14:paraId="4320307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p>
        </w:tc>
        <w:tc>
          <w:tcPr>
            <w:tcW w:w="2130" w:type="dxa"/>
            <w:vAlign w:val="bottom"/>
          </w:tcPr>
          <w:p w14:paraId="44EFB3C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4.33</w:t>
            </w:r>
          </w:p>
        </w:tc>
        <w:tc>
          <w:tcPr>
            <w:tcW w:w="2131" w:type="dxa"/>
            <w:vAlign w:val="center"/>
          </w:tcPr>
          <w:p w14:paraId="3AD0806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16</w:t>
            </w:r>
          </w:p>
        </w:tc>
        <w:tc>
          <w:tcPr>
            <w:tcW w:w="2131" w:type="dxa"/>
            <w:vAlign w:val="bottom"/>
          </w:tcPr>
          <w:p w14:paraId="6BDAE89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0.99</w:t>
            </w:r>
          </w:p>
        </w:tc>
      </w:tr>
      <w:tr w:rsidR="0059414D" w14:paraId="16E21042" w14:textId="77777777">
        <w:trPr>
          <w:jc w:val="center"/>
        </w:trPr>
        <w:tc>
          <w:tcPr>
            <w:tcW w:w="2130" w:type="dxa"/>
            <w:vAlign w:val="center"/>
          </w:tcPr>
          <w:p w14:paraId="0C6931F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0" w:type="dxa"/>
            <w:vAlign w:val="bottom"/>
          </w:tcPr>
          <w:p w14:paraId="3AAFAEA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1.32</w:t>
            </w:r>
          </w:p>
        </w:tc>
        <w:tc>
          <w:tcPr>
            <w:tcW w:w="2131" w:type="dxa"/>
            <w:vAlign w:val="center"/>
          </w:tcPr>
          <w:p w14:paraId="00CBD3D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17</w:t>
            </w:r>
          </w:p>
        </w:tc>
        <w:tc>
          <w:tcPr>
            <w:tcW w:w="2131" w:type="dxa"/>
            <w:vAlign w:val="bottom"/>
          </w:tcPr>
          <w:p w14:paraId="2689FE0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14.23</w:t>
            </w:r>
          </w:p>
        </w:tc>
      </w:tr>
      <w:tr w:rsidR="0059414D" w14:paraId="22FBB87D" w14:textId="77777777">
        <w:trPr>
          <w:jc w:val="center"/>
        </w:trPr>
        <w:tc>
          <w:tcPr>
            <w:tcW w:w="2130" w:type="dxa"/>
            <w:vAlign w:val="center"/>
          </w:tcPr>
          <w:p w14:paraId="7996732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0" w:type="dxa"/>
            <w:vAlign w:val="bottom"/>
          </w:tcPr>
          <w:p w14:paraId="1BCD7A9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0.66</w:t>
            </w:r>
          </w:p>
        </w:tc>
        <w:tc>
          <w:tcPr>
            <w:tcW w:w="2131" w:type="dxa"/>
            <w:vAlign w:val="center"/>
          </w:tcPr>
          <w:p w14:paraId="34E426F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18</w:t>
            </w:r>
          </w:p>
        </w:tc>
        <w:tc>
          <w:tcPr>
            <w:tcW w:w="2131" w:type="dxa"/>
            <w:vAlign w:val="bottom"/>
          </w:tcPr>
          <w:p w14:paraId="2FB7386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2.16</w:t>
            </w:r>
          </w:p>
        </w:tc>
      </w:tr>
      <w:tr w:rsidR="0059414D" w14:paraId="136DBC1B" w14:textId="77777777">
        <w:trPr>
          <w:jc w:val="center"/>
        </w:trPr>
        <w:tc>
          <w:tcPr>
            <w:tcW w:w="2130" w:type="dxa"/>
            <w:vAlign w:val="center"/>
          </w:tcPr>
          <w:p w14:paraId="2DE14A8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0" w:type="dxa"/>
            <w:vAlign w:val="bottom"/>
          </w:tcPr>
          <w:p w14:paraId="36F61DC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0.53</w:t>
            </w:r>
          </w:p>
        </w:tc>
        <w:tc>
          <w:tcPr>
            <w:tcW w:w="2131" w:type="dxa"/>
            <w:vAlign w:val="center"/>
          </w:tcPr>
          <w:p w14:paraId="1AE210C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19</w:t>
            </w:r>
          </w:p>
        </w:tc>
        <w:tc>
          <w:tcPr>
            <w:tcW w:w="2131" w:type="dxa"/>
            <w:vAlign w:val="bottom"/>
          </w:tcPr>
          <w:p w14:paraId="6DA94FF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0.75</w:t>
            </w:r>
          </w:p>
        </w:tc>
      </w:tr>
      <w:tr w:rsidR="0059414D" w14:paraId="51D79076" w14:textId="77777777">
        <w:trPr>
          <w:jc w:val="center"/>
        </w:trPr>
        <w:tc>
          <w:tcPr>
            <w:tcW w:w="2130" w:type="dxa"/>
            <w:vAlign w:val="center"/>
          </w:tcPr>
          <w:p w14:paraId="73D6179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0" w:type="dxa"/>
            <w:vAlign w:val="bottom"/>
          </w:tcPr>
          <w:p w14:paraId="77532BFB" w14:textId="77777777" w:rsidR="0059414D" w:rsidRDefault="0051453F">
            <w:pPr>
              <w:widowControl/>
              <w:jc w:val="center"/>
              <w:textAlignment w:val="bottom"/>
              <w:rPr>
                <w:rFonts w:ascii="宋体" w:eastAsia="宋体" w:hAnsi="宋体" w:cs="宋体"/>
                <w:color w:val="000000"/>
                <w:sz w:val="22"/>
              </w:rPr>
            </w:pPr>
            <w:r>
              <w:rPr>
                <w:rFonts w:ascii="宋体" w:eastAsia="宋体" w:hAnsi="宋体" w:cs="宋体" w:hint="eastAsia"/>
                <w:color w:val="000000"/>
                <w:kern w:val="0"/>
                <w:sz w:val="22"/>
                <w:lang w:bidi="ar"/>
              </w:rPr>
              <w:t>0.78</w:t>
            </w:r>
          </w:p>
        </w:tc>
        <w:tc>
          <w:tcPr>
            <w:tcW w:w="2131" w:type="dxa"/>
            <w:vAlign w:val="center"/>
          </w:tcPr>
          <w:p w14:paraId="4CCB246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20</w:t>
            </w:r>
          </w:p>
        </w:tc>
        <w:tc>
          <w:tcPr>
            <w:tcW w:w="2131" w:type="dxa"/>
            <w:vAlign w:val="bottom"/>
          </w:tcPr>
          <w:p w14:paraId="28409D1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3.29</w:t>
            </w:r>
          </w:p>
        </w:tc>
      </w:tr>
    </w:tbl>
    <w:p w14:paraId="55CDEA8A"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13  </w:t>
      </w:r>
      <w:r>
        <w:rPr>
          <w:rFonts w:ascii="Times New Roman" w:hint="eastAsia"/>
        </w:rPr>
        <w:t>不同腐植酸（液体）样品水不溶物含量测定结果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07307420" w14:textId="77777777">
        <w:trPr>
          <w:jc w:val="center"/>
        </w:trPr>
        <w:tc>
          <w:tcPr>
            <w:tcW w:w="2130" w:type="dxa"/>
          </w:tcPr>
          <w:p w14:paraId="57AB8AA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6AF2C5F6"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水不溶物含量g/L</w:t>
            </w:r>
          </w:p>
        </w:tc>
        <w:tc>
          <w:tcPr>
            <w:tcW w:w="2131" w:type="dxa"/>
          </w:tcPr>
          <w:p w14:paraId="7EA16F6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123B4771"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水不溶物含量g/L</w:t>
            </w:r>
          </w:p>
        </w:tc>
      </w:tr>
      <w:tr w:rsidR="0059414D" w14:paraId="31897EC1" w14:textId="77777777">
        <w:trPr>
          <w:jc w:val="center"/>
        </w:trPr>
        <w:tc>
          <w:tcPr>
            <w:tcW w:w="2130" w:type="dxa"/>
            <w:vAlign w:val="center"/>
          </w:tcPr>
          <w:p w14:paraId="68E39A5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bottom"/>
          </w:tcPr>
          <w:p w14:paraId="7EA49D3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31.2</w:t>
            </w:r>
          </w:p>
        </w:tc>
        <w:tc>
          <w:tcPr>
            <w:tcW w:w="2131" w:type="dxa"/>
            <w:vAlign w:val="center"/>
          </w:tcPr>
          <w:p w14:paraId="0C31691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1" w:type="dxa"/>
            <w:vAlign w:val="bottom"/>
          </w:tcPr>
          <w:p w14:paraId="5E99136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13.4</w:t>
            </w:r>
          </w:p>
        </w:tc>
      </w:tr>
      <w:tr w:rsidR="0059414D" w14:paraId="4DB86D0B" w14:textId="77777777">
        <w:trPr>
          <w:jc w:val="center"/>
        </w:trPr>
        <w:tc>
          <w:tcPr>
            <w:tcW w:w="2130" w:type="dxa"/>
            <w:vAlign w:val="center"/>
          </w:tcPr>
          <w:p w14:paraId="02D0780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bottom"/>
          </w:tcPr>
          <w:p w14:paraId="129943B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23.5</w:t>
            </w:r>
          </w:p>
        </w:tc>
        <w:tc>
          <w:tcPr>
            <w:tcW w:w="2131" w:type="dxa"/>
            <w:vAlign w:val="center"/>
          </w:tcPr>
          <w:p w14:paraId="1CC78C8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1" w:type="dxa"/>
            <w:vAlign w:val="bottom"/>
          </w:tcPr>
          <w:p w14:paraId="2E67586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36.7</w:t>
            </w:r>
          </w:p>
        </w:tc>
      </w:tr>
      <w:tr w:rsidR="0059414D" w14:paraId="070783C8" w14:textId="77777777">
        <w:trPr>
          <w:jc w:val="center"/>
        </w:trPr>
        <w:tc>
          <w:tcPr>
            <w:tcW w:w="2130" w:type="dxa"/>
            <w:vAlign w:val="center"/>
          </w:tcPr>
          <w:p w14:paraId="373C2D3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w:t>
            </w:r>
          </w:p>
        </w:tc>
        <w:tc>
          <w:tcPr>
            <w:tcW w:w="2130" w:type="dxa"/>
            <w:vAlign w:val="bottom"/>
          </w:tcPr>
          <w:p w14:paraId="1A9F783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13.7</w:t>
            </w:r>
          </w:p>
        </w:tc>
        <w:tc>
          <w:tcPr>
            <w:tcW w:w="2131" w:type="dxa"/>
            <w:vAlign w:val="center"/>
          </w:tcPr>
          <w:p w14:paraId="72D48D2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1" w:type="dxa"/>
            <w:vAlign w:val="bottom"/>
          </w:tcPr>
          <w:p w14:paraId="5F381EE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51.2</w:t>
            </w:r>
          </w:p>
        </w:tc>
      </w:tr>
      <w:tr w:rsidR="0059414D" w14:paraId="4670C67B" w14:textId="77777777">
        <w:trPr>
          <w:jc w:val="center"/>
        </w:trPr>
        <w:tc>
          <w:tcPr>
            <w:tcW w:w="2130" w:type="dxa"/>
            <w:vAlign w:val="center"/>
          </w:tcPr>
          <w:p w14:paraId="465731A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bottom"/>
          </w:tcPr>
          <w:p w14:paraId="1A197F2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23.8</w:t>
            </w:r>
          </w:p>
        </w:tc>
        <w:tc>
          <w:tcPr>
            <w:tcW w:w="2131" w:type="dxa"/>
            <w:vAlign w:val="center"/>
          </w:tcPr>
          <w:p w14:paraId="5F2FFC0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1" w:type="dxa"/>
            <w:vAlign w:val="bottom"/>
          </w:tcPr>
          <w:p w14:paraId="4EE51C0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5.7</w:t>
            </w:r>
          </w:p>
        </w:tc>
      </w:tr>
      <w:tr w:rsidR="0059414D" w14:paraId="017F3183" w14:textId="77777777">
        <w:trPr>
          <w:jc w:val="center"/>
        </w:trPr>
        <w:tc>
          <w:tcPr>
            <w:tcW w:w="2130" w:type="dxa"/>
            <w:vAlign w:val="center"/>
          </w:tcPr>
          <w:p w14:paraId="6F7B2E4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bottom"/>
          </w:tcPr>
          <w:p w14:paraId="63AB529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25.6</w:t>
            </w:r>
          </w:p>
        </w:tc>
        <w:tc>
          <w:tcPr>
            <w:tcW w:w="2131" w:type="dxa"/>
            <w:vAlign w:val="center"/>
          </w:tcPr>
          <w:p w14:paraId="3E8BCA1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11</w:t>
            </w:r>
          </w:p>
        </w:tc>
        <w:tc>
          <w:tcPr>
            <w:tcW w:w="2131" w:type="dxa"/>
            <w:vAlign w:val="bottom"/>
          </w:tcPr>
          <w:p w14:paraId="13D585E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9.8</w:t>
            </w:r>
          </w:p>
        </w:tc>
      </w:tr>
      <w:tr w:rsidR="0059414D" w14:paraId="0EAEB618" w14:textId="77777777">
        <w:trPr>
          <w:jc w:val="center"/>
        </w:trPr>
        <w:tc>
          <w:tcPr>
            <w:tcW w:w="2130" w:type="dxa"/>
            <w:vAlign w:val="center"/>
          </w:tcPr>
          <w:p w14:paraId="079B175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p>
        </w:tc>
        <w:tc>
          <w:tcPr>
            <w:tcW w:w="2130" w:type="dxa"/>
            <w:vAlign w:val="bottom"/>
          </w:tcPr>
          <w:p w14:paraId="63DBAA5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19.8</w:t>
            </w:r>
          </w:p>
        </w:tc>
        <w:tc>
          <w:tcPr>
            <w:tcW w:w="2131" w:type="dxa"/>
            <w:vAlign w:val="center"/>
          </w:tcPr>
          <w:p w14:paraId="7D22BE5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bottom"/>
          </w:tcPr>
          <w:p w14:paraId="38ED9D0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15.6</w:t>
            </w:r>
          </w:p>
        </w:tc>
      </w:tr>
    </w:tbl>
    <w:p w14:paraId="5F8C7D4D" w14:textId="77777777" w:rsidR="0059414D" w:rsidRDefault="0051453F">
      <w:pPr>
        <w:autoSpaceDE w:val="0"/>
        <w:autoSpaceDN w:val="0"/>
        <w:adjustRightInd w:val="0"/>
        <w:snapToGrid w:val="0"/>
        <w:spacing w:line="300" w:lineRule="auto"/>
        <w:ind w:firstLineChars="200" w:firstLine="420"/>
        <w:jc w:val="left"/>
        <w:rPr>
          <w:rFonts w:ascii="Times New Roman" w:eastAsia="宋体" w:hAnsi="Times New Roman" w:cs="Times New Roman"/>
          <w:kern w:val="0"/>
          <w:szCs w:val="21"/>
        </w:rPr>
      </w:pPr>
      <w:r>
        <w:rPr>
          <w:rFonts w:ascii="Times New Roman" w:hAnsi="Times New Roman" w:cs="Times New Roman" w:hint="eastAsia"/>
        </w:rPr>
        <w:t>参照</w:t>
      </w:r>
      <w:r>
        <w:rPr>
          <w:rFonts w:ascii="Times New Roman" w:hAnsi="Times New Roman" w:cs="Times New Roman" w:hint="eastAsia"/>
        </w:rPr>
        <w:t>NY</w:t>
      </w:r>
      <w:r>
        <w:rPr>
          <w:rFonts w:ascii="Times New Roman" w:hint="eastAsia"/>
        </w:rPr>
        <w:t>/T 1973</w:t>
      </w:r>
      <w:r>
        <w:rPr>
          <w:rFonts w:ascii="Times New Roman" w:hint="eastAsia"/>
        </w:rPr>
        <w:t>测定产品水不溶物含量。</w:t>
      </w:r>
      <w:r w:rsidR="00A0789D">
        <w:rPr>
          <w:rFonts w:ascii="Times New Roman" w:hint="eastAsia"/>
        </w:rPr>
        <w:t>固体腐植酸主要用于腐植酸复合肥料的生产，</w:t>
      </w:r>
      <w:r w:rsidR="00A0789D">
        <w:rPr>
          <w:rFonts w:ascii="Times New Roman" w:hint="eastAsia"/>
        </w:rPr>
        <w:lastRenderedPageBreak/>
        <w:t>料浆、高塔、转鼓工艺对水不溶物均有不同要求。</w:t>
      </w:r>
      <w:r>
        <w:rPr>
          <w:rFonts w:ascii="Times New Roman" w:eastAsia="宋体" w:hAnsi="Times New Roman" w:cs="Times New Roman" w:hint="eastAsia"/>
          <w:kern w:val="0"/>
          <w:szCs w:val="21"/>
        </w:rPr>
        <w:t>测定了</w:t>
      </w:r>
      <w:r>
        <w:rPr>
          <w:rFonts w:ascii="Times New Roman" w:eastAsia="宋体" w:hAnsi="Times New Roman" w:cs="Times New Roman" w:hint="eastAsia"/>
          <w:kern w:val="0"/>
          <w:szCs w:val="21"/>
        </w:rPr>
        <w:t>20</w:t>
      </w:r>
      <w:r>
        <w:rPr>
          <w:rFonts w:ascii="Times New Roman" w:eastAsia="宋体" w:hAnsi="Times New Roman" w:cs="Times New Roman" w:hint="eastAsia"/>
          <w:kern w:val="0"/>
          <w:szCs w:val="21"/>
        </w:rPr>
        <w:t>个不同腐植酸样品，有</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个产品水不溶物含量大于</w:t>
      </w:r>
      <w:r>
        <w:rPr>
          <w:rFonts w:ascii="Times New Roman" w:eastAsia="宋体" w:hAnsi="Times New Roman" w:cs="Times New Roman" w:hint="eastAsia"/>
          <w:kern w:val="0"/>
          <w:szCs w:val="21"/>
        </w:rPr>
        <w:t>20%</w:t>
      </w:r>
      <w:r>
        <w:rPr>
          <w:rFonts w:ascii="Times New Roman" w:eastAsia="宋体" w:hAnsi="Times New Roman" w:cs="Times New Roman" w:hint="eastAsia"/>
          <w:kern w:val="0"/>
          <w:szCs w:val="21"/>
        </w:rPr>
        <w:t>，考虑个别产地产品</w:t>
      </w:r>
      <w:r w:rsidR="00A0789D">
        <w:rPr>
          <w:rFonts w:ascii="Times New Roman" w:eastAsia="宋体" w:hAnsi="Times New Roman" w:cs="Times New Roman" w:hint="eastAsia"/>
          <w:kern w:val="0"/>
          <w:szCs w:val="21"/>
        </w:rPr>
        <w:t>特点及不同工艺要求</w:t>
      </w:r>
      <w:r>
        <w:rPr>
          <w:rFonts w:ascii="Times New Roman" w:eastAsia="宋体" w:hAnsi="Times New Roman" w:cs="Times New Roman" w:hint="eastAsia"/>
          <w:kern w:val="0"/>
          <w:szCs w:val="21"/>
        </w:rPr>
        <w:t>，将水不溶物含量</w:t>
      </w:r>
      <w:r>
        <w:rPr>
          <w:rFonts w:ascii="Times New Roman" w:eastAsia="宋体" w:hAnsi="Times New Roman" w:cs="Times New Roman" w:hint="eastAsia"/>
          <w:kern w:val="0"/>
          <w:szCs w:val="21"/>
        </w:rPr>
        <w:t>25%</w:t>
      </w:r>
      <w:r>
        <w:rPr>
          <w:rFonts w:ascii="Times New Roman" w:eastAsia="宋体" w:hAnsi="Times New Roman" w:cs="Times New Roman" w:hint="eastAsia"/>
          <w:kern w:val="0"/>
          <w:szCs w:val="21"/>
        </w:rPr>
        <w:t>为增效剂腐植酸（固体）产品的含量指标上限值</w:t>
      </w:r>
      <w:r w:rsidR="00A0789D">
        <w:rPr>
          <w:rFonts w:ascii="Times New Roman" w:eastAsia="宋体" w:hAnsi="Times New Roman" w:cs="Times New Roman" w:hint="eastAsia"/>
          <w:kern w:val="0"/>
          <w:szCs w:val="21"/>
        </w:rPr>
        <w:t>或暂不定水不溶物含量指标，可由供需双方商定</w:t>
      </w:r>
      <w:r>
        <w:rPr>
          <w:rFonts w:ascii="Times New Roman" w:eastAsia="宋体" w:hAnsi="Times New Roman" w:cs="Times New Roman" w:hint="eastAsia"/>
          <w:kern w:val="0"/>
          <w:szCs w:val="21"/>
        </w:rPr>
        <w:t>；液体产品水不溶物含量在</w:t>
      </w:r>
      <w:r>
        <w:rPr>
          <w:rFonts w:ascii="Times New Roman" w:eastAsia="宋体" w:hAnsi="Times New Roman" w:cs="Times New Roman" w:hint="eastAsia"/>
          <w:kern w:val="0"/>
          <w:szCs w:val="21"/>
        </w:rPr>
        <w:t>5.7~51.2</w:t>
      </w:r>
      <w:r>
        <w:rPr>
          <w:rFonts w:ascii="宋体" w:eastAsia="宋体" w:hAnsi="宋体" w:cs="宋体" w:hint="eastAsia"/>
          <w:color w:val="000000"/>
          <w:kern w:val="0"/>
          <w:sz w:val="22"/>
          <w:lang w:bidi="ar"/>
        </w:rPr>
        <w:t>g/L</w:t>
      </w:r>
      <w:r>
        <w:rPr>
          <w:rFonts w:ascii="Times New Roman" w:eastAsia="宋体" w:hAnsi="Times New Roman" w:cs="Times New Roman" w:hint="eastAsia"/>
          <w:kern w:val="0"/>
          <w:szCs w:val="21"/>
        </w:rPr>
        <w:t>之间，</w:t>
      </w:r>
      <w:r w:rsidR="00280BD3">
        <w:rPr>
          <w:rFonts w:ascii="Times New Roman" w:eastAsia="宋体" w:hAnsi="Times New Roman" w:cs="Times New Roman" w:hint="eastAsia"/>
          <w:kern w:val="0"/>
          <w:szCs w:val="21"/>
        </w:rPr>
        <w:t>平均</w:t>
      </w:r>
      <w:r w:rsidR="00280BD3">
        <w:rPr>
          <w:rFonts w:ascii="Times New Roman" w:eastAsia="宋体" w:hAnsi="Times New Roman" w:cs="Times New Roman" w:hint="eastAsia"/>
          <w:kern w:val="0"/>
          <w:szCs w:val="21"/>
        </w:rPr>
        <w:t>22.5g/L</w:t>
      </w:r>
      <w:r w:rsidR="00280BD3">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仅</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个产品超过</w:t>
      </w:r>
      <w:r>
        <w:rPr>
          <w:rFonts w:ascii="Times New Roman" w:eastAsia="宋体" w:hAnsi="Times New Roman" w:cs="Times New Roman" w:hint="eastAsia"/>
          <w:kern w:val="0"/>
          <w:szCs w:val="21"/>
        </w:rPr>
        <w:t>50</w:t>
      </w:r>
      <w:r>
        <w:rPr>
          <w:rFonts w:ascii="宋体" w:eastAsia="宋体" w:hAnsi="宋体" w:cs="宋体" w:hint="eastAsia"/>
          <w:color w:val="000000"/>
          <w:kern w:val="0"/>
          <w:sz w:val="22"/>
          <w:lang w:bidi="ar"/>
        </w:rPr>
        <w:t>g/L</w:t>
      </w:r>
      <w:r>
        <w:rPr>
          <w:rFonts w:ascii="Times New Roman" w:eastAsia="宋体" w:hAnsi="Times New Roman" w:cs="Times New Roman" w:hint="eastAsia"/>
          <w:kern w:val="0"/>
          <w:szCs w:val="21"/>
        </w:rPr>
        <w:t>，</w:t>
      </w:r>
      <w:r w:rsidR="003B43DE">
        <w:rPr>
          <w:rFonts w:ascii="Times New Roman" w:eastAsia="宋体" w:hAnsi="Times New Roman" w:cs="Times New Roman" w:hint="eastAsia"/>
          <w:kern w:val="0"/>
          <w:szCs w:val="21"/>
        </w:rPr>
        <w:t>75%</w:t>
      </w:r>
      <w:r w:rsidR="003B43DE">
        <w:rPr>
          <w:rFonts w:ascii="Times New Roman" w:eastAsia="宋体" w:hAnsi="Times New Roman" w:cs="Times New Roman" w:hint="eastAsia"/>
          <w:kern w:val="0"/>
          <w:szCs w:val="21"/>
        </w:rPr>
        <w:t>的样品水不溶物含量＜</w:t>
      </w:r>
      <w:r w:rsidR="003B43DE">
        <w:rPr>
          <w:rFonts w:ascii="Times New Roman" w:eastAsia="宋体" w:hAnsi="Times New Roman" w:cs="Times New Roman" w:hint="eastAsia"/>
          <w:kern w:val="0"/>
          <w:szCs w:val="21"/>
        </w:rPr>
        <w:t>30g/L</w:t>
      </w:r>
      <w:r w:rsidR="003B43DE">
        <w:rPr>
          <w:rFonts w:ascii="Times New Roman" w:eastAsia="宋体" w:hAnsi="Times New Roman" w:cs="Times New Roman" w:hint="eastAsia"/>
          <w:kern w:val="0"/>
          <w:szCs w:val="21"/>
        </w:rPr>
        <w:t>，</w:t>
      </w:r>
      <w:r w:rsidR="00280BD3">
        <w:rPr>
          <w:rFonts w:ascii="Times New Roman" w:eastAsia="宋体" w:hAnsi="Times New Roman" w:cs="Times New Roman" w:hint="eastAsia"/>
          <w:kern w:val="0"/>
          <w:szCs w:val="21"/>
        </w:rPr>
        <w:t>91.7%</w:t>
      </w:r>
      <w:r w:rsidR="00280BD3">
        <w:rPr>
          <w:rFonts w:ascii="Times New Roman" w:eastAsia="宋体" w:hAnsi="Times New Roman" w:cs="Times New Roman" w:hint="eastAsia"/>
          <w:kern w:val="0"/>
          <w:szCs w:val="21"/>
        </w:rPr>
        <w:t>的样品水不溶物</w:t>
      </w:r>
      <w:r w:rsidR="003B43DE">
        <w:rPr>
          <w:rFonts w:ascii="Times New Roman" w:eastAsia="宋体" w:hAnsi="Times New Roman" w:cs="Times New Roman" w:hint="eastAsia"/>
          <w:kern w:val="0"/>
          <w:szCs w:val="21"/>
        </w:rPr>
        <w:t>含量</w:t>
      </w:r>
      <w:r w:rsidR="00280BD3">
        <w:rPr>
          <w:rFonts w:ascii="Times New Roman" w:eastAsia="宋体" w:hAnsi="Times New Roman" w:cs="Times New Roman" w:hint="eastAsia"/>
          <w:kern w:val="0"/>
          <w:szCs w:val="21"/>
        </w:rPr>
        <w:t>小于</w:t>
      </w:r>
      <w:r w:rsidR="00280BD3">
        <w:rPr>
          <w:rFonts w:ascii="Times New Roman" w:eastAsia="宋体" w:hAnsi="Times New Roman" w:cs="Times New Roman" w:hint="eastAsia"/>
          <w:kern w:val="0"/>
          <w:szCs w:val="21"/>
        </w:rPr>
        <w:t>40</w:t>
      </w:r>
      <w:r w:rsidR="003B43DE">
        <w:rPr>
          <w:rFonts w:ascii="Times New Roman" w:eastAsia="宋体" w:hAnsi="Times New Roman" w:cs="Times New Roman" w:hint="eastAsia"/>
          <w:kern w:val="0"/>
          <w:szCs w:val="21"/>
        </w:rPr>
        <w:t>g/L</w:t>
      </w:r>
      <w:r w:rsidR="00280BD3">
        <w:rPr>
          <w:rFonts w:ascii="Times New Roman" w:eastAsia="宋体" w:hAnsi="Times New Roman" w:cs="Times New Roman" w:hint="eastAsia"/>
          <w:kern w:val="0"/>
          <w:szCs w:val="21"/>
        </w:rPr>
        <w:t>，因此，</w:t>
      </w:r>
      <w:r>
        <w:rPr>
          <w:rFonts w:ascii="Times New Roman" w:eastAsia="宋体" w:hAnsi="Times New Roman" w:cs="Times New Roman" w:hint="eastAsia"/>
          <w:kern w:val="0"/>
          <w:szCs w:val="21"/>
        </w:rPr>
        <w:t>将</w:t>
      </w:r>
      <w:r w:rsidR="00280BD3">
        <w:rPr>
          <w:rFonts w:ascii="Times New Roman" w:eastAsia="宋体" w:hAnsi="Times New Roman" w:cs="Times New Roman" w:hint="eastAsia"/>
          <w:kern w:val="0"/>
          <w:szCs w:val="21"/>
        </w:rPr>
        <w:t>4</w:t>
      </w:r>
      <w:r>
        <w:rPr>
          <w:rFonts w:ascii="Times New Roman" w:eastAsia="宋体" w:hAnsi="Times New Roman" w:cs="Times New Roman" w:hint="eastAsia"/>
          <w:kern w:val="0"/>
          <w:szCs w:val="21"/>
        </w:rPr>
        <w:t>0.0</w:t>
      </w:r>
      <w:r>
        <w:rPr>
          <w:rFonts w:ascii="宋体" w:eastAsia="宋体" w:hAnsi="宋体" w:cs="宋体" w:hint="eastAsia"/>
          <w:color w:val="000000"/>
          <w:kern w:val="0"/>
          <w:sz w:val="22"/>
          <w:lang w:bidi="ar"/>
        </w:rPr>
        <w:t>g/L</w:t>
      </w:r>
      <w:r>
        <w:rPr>
          <w:rFonts w:ascii="Times New Roman" w:eastAsia="宋体" w:hAnsi="Times New Roman" w:cs="Times New Roman" w:hint="eastAsia"/>
          <w:kern w:val="0"/>
          <w:szCs w:val="21"/>
        </w:rPr>
        <w:t>作为肥料增效剂腐植酸（液体）产品的水不溶含量上限指标。</w:t>
      </w:r>
    </w:p>
    <w:p w14:paraId="2BAFD0DC"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、腐植酸</w:t>
      </w:r>
      <w:r>
        <w:rPr>
          <w:rFonts w:ascii="Times New Roman" w:hAnsi="Times New Roman" w:cs="Times New Roman" w:hint="eastAsia"/>
        </w:rPr>
        <w:t>pH</w:t>
      </w:r>
      <w:r>
        <w:rPr>
          <w:rFonts w:ascii="Times New Roman" w:hAnsi="Times New Roman" w:cs="Times New Roman" w:hint="eastAsia"/>
        </w:rPr>
        <w:t>限值的确定</w:t>
      </w:r>
    </w:p>
    <w:p w14:paraId="12EC5241"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14 </w:t>
      </w:r>
      <w:r>
        <w:rPr>
          <w:rFonts w:ascii="Times New Roman" w:hint="eastAsia"/>
        </w:rPr>
        <w:t>不同腐植酸（固体）样品</w:t>
      </w:r>
      <w:r>
        <w:rPr>
          <w:rFonts w:ascii="Times New Roman" w:hint="eastAsia"/>
        </w:rPr>
        <w:t>pH</w:t>
      </w:r>
      <w:r>
        <w:rPr>
          <w:rFonts w:ascii="Times New Roman" w:hint="eastAsia"/>
        </w:rPr>
        <w:t>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64D790E6" w14:textId="77777777">
        <w:trPr>
          <w:jc w:val="center"/>
        </w:trPr>
        <w:tc>
          <w:tcPr>
            <w:tcW w:w="2130" w:type="dxa"/>
          </w:tcPr>
          <w:p w14:paraId="0F1C4249" w14:textId="77777777" w:rsidR="0059414D" w:rsidRDefault="0051453F" w:rsidP="005B7FE6">
            <w:pPr>
              <w:widowControl/>
              <w:snapToGrid w:val="0"/>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4A27A69D" w14:textId="77777777" w:rsidR="0059414D" w:rsidRDefault="0051453F" w:rsidP="005B7FE6">
            <w:pPr>
              <w:snapToGrid w:val="0"/>
              <w:spacing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pH</w:t>
            </w:r>
          </w:p>
        </w:tc>
        <w:tc>
          <w:tcPr>
            <w:tcW w:w="2131" w:type="dxa"/>
          </w:tcPr>
          <w:p w14:paraId="6E2FA26F" w14:textId="77777777" w:rsidR="0059414D" w:rsidRDefault="0051453F" w:rsidP="005B7FE6">
            <w:pPr>
              <w:widowControl/>
              <w:snapToGrid w:val="0"/>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34776E84" w14:textId="77777777" w:rsidR="0059414D" w:rsidRDefault="0051453F" w:rsidP="005B7FE6">
            <w:pPr>
              <w:snapToGrid w:val="0"/>
              <w:spacing w:line="300" w:lineRule="auto"/>
              <w:jc w:val="center"/>
              <w:rPr>
                <w:rFonts w:ascii="Times New Roman" w:hAnsi="Times New Roman" w:cs="Times New Roman"/>
                <w:kern w:val="0"/>
                <w:szCs w:val="21"/>
              </w:rPr>
            </w:pPr>
            <w:r>
              <w:rPr>
                <w:rFonts w:ascii="Times New Roman" w:hAnsi="Times New Roman" w:cs="Times New Roman" w:hint="eastAsia"/>
                <w:kern w:val="0"/>
                <w:szCs w:val="21"/>
              </w:rPr>
              <w:t>pH</w:t>
            </w:r>
          </w:p>
        </w:tc>
      </w:tr>
      <w:tr w:rsidR="0059414D" w14:paraId="3EA6848C" w14:textId="77777777">
        <w:trPr>
          <w:jc w:val="center"/>
        </w:trPr>
        <w:tc>
          <w:tcPr>
            <w:tcW w:w="2130" w:type="dxa"/>
            <w:vAlign w:val="center"/>
          </w:tcPr>
          <w:p w14:paraId="3CDEA45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bottom"/>
          </w:tcPr>
          <w:p w14:paraId="44528C5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8.8</w:t>
            </w:r>
          </w:p>
        </w:tc>
        <w:tc>
          <w:tcPr>
            <w:tcW w:w="2131" w:type="dxa"/>
            <w:vAlign w:val="center"/>
          </w:tcPr>
          <w:p w14:paraId="2DDDF7E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11</w:t>
            </w:r>
          </w:p>
        </w:tc>
        <w:tc>
          <w:tcPr>
            <w:tcW w:w="2131" w:type="dxa"/>
            <w:vAlign w:val="bottom"/>
          </w:tcPr>
          <w:p w14:paraId="377C827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8.76</w:t>
            </w:r>
          </w:p>
        </w:tc>
      </w:tr>
      <w:tr w:rsidR="0059414D" w14:paraId="053A418A" w14:textId="77777777">
        <w:trPr>
          <w:jc w:val="center"/>
        </w:trPr>
        <w:tc>
          <w:tcPr>
            <w:tcW w:w="2130" w:type="dxa"/>
            <w:vAlign w:val="center"/>
          </w:tcPr>
          <w:p w14:paraId="1537BCD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bottom"/>
          </w:tcPr>
          <w:p w14:paraId="1655212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8.36</w:t>
            </w:r>
          </w:p>
        </w:tc>
        <w:tc>
          <w:tcPr>
            <w:tcW w:w="2131" w:type="dxa"/>
            <w:vAlign w:val="center"/>
          </w:tcPr>
          <w:p w14:paraId="5AE4EDB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bottom"/>
          </w:tcPr>
          <w:p w14:paraId="1B7F7F1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10.32</w:t>
            </w:r>
          </w:p>
        </w:tc>
      </w:tr>
      <w:tr w:rsidR="0059414D" w14:paraId="08CE690B" w14:textId="77777777">
        <w:trPr>
          <w:jc w:val="center"/>
        </w:trPr>
        <w:tc>
          <w:tcPr>
            <w:tcW w:w="2130" w:type="dxa"/>
            <w:vAlign w:val="center"/>
          </w:tcPr>
          <w:p w14:paraId="26F0EB8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w:t>
            </w:r>
          </w:p>
        </w:tc>
        <w:tc>
          <w:tcPr>
            <w:tcW w:w="2130" w:type="dxa"/>
            <w:vAlign w:val="bottom"/>
          </w:tcPr>
          <w:p w14:paraId="0387795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9.12</w:t>
            </w:r>
          </w:p>
        </w:tc>
        <w:tc>
          <w:tcPr>
            <w:tcW w:w="2131" w:type="dxa"/>
            <w:vAlign w:val="center"/>
          </w:tcPr>
          <w:p w14:paraId="7F46273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13</w:t>
            </w:r>
          </w:p>
        </w:tc>
        <w:tc>
          <w:tcPr>
            <w:tcW w:w="2131" w:type="dxa"/>
            <w:vAlign w:val="bottom"/>
          </w:tcPr>
          <w:p w14:paraId="415C30F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9.33</w:t>
            </w:r>
          </w:p>
        </w:tc>
      </w:tr>
      <w:tr w:rsidR="0059414D" w14:paraId="69674690" w14:textId="77777777">
        <w:trPr>
          <w:jc w:val="center"/>
        </w:trPr>
        <w:tc>
          <w:tcPr>
            <w:tcW w:w="2130" w:type="dxa"/>
            <w:vAlign w:val="center"/>
          </w:tcPr>
          <w:p w14:paraId="71A0762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bottom"/>
          </w:tcPr>
          <w:p w14:paraId="33E1A7F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9.45</w:t>
            </w:r>
          </w:p>
        </w:tc>
        <w:tc>
          <w:tcPr>
            <w:tcW w:w="2131" w:type="dxa"/>
            <w:vAlign w:val="center"/>
          </w:tcPr>
          <w:p w14:paraId="72F6451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14</w:t>
            </w:r>
          </w:p>
        </w:tc>
        <w:tc>
          <w:tcPr>
            <w:tcW w:w="2131" w:type="dxa"/>
            <w:vAlign w:val="bottom"/>
          </w:tcPr>
          <w:p w14:paraId="6CC5555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10.66</w:t>
            </w:r>
          </w:p>
        </w:tc>
      </w:tr>
      <w:tr w:rsidR="0059414D" w14:paraId="05B64F19" w14:textId="77777777">
        <w:trPr>
          <w:jc w:val="center"/>
        </w:trPr>
        <w:tc>
          <w:tcPr>
            <w:tcW w:w="2130" w:type="dxa"/>
            <w:vAlign w:val="center"/>
          </w:tcPr>
          <w:p w14:paraId="3A0AF46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bottom"/>
          </w:tcPr>
          <w:p w14:paraId="514FEBF0" w14:textId="77777777" w:rsidR="0059414D" w:rsidRDefault="00D35A93">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r w:rsidR="0051453F">
              <w:rPr>
                <w:rFonts w:ascii="宋体" w:eastAsia="宋体" w:hAnsi="宋体" w:cs="宋体" w:hint="eastAsia"/>
                <w:color w:val="000000"/>
                <w:kern w:val="0"/>
                <w:sz w:val="22"/>
                <w:lang w:bidi="ar"/>
              </w:rPr>
              <w:t>.34</w:t>
            </w:r>
          </w:p>
        </w:tc>
        <w:tc>
          <w:tcPr>
            <w:tcW w:w="2131" w:type="dxa"/>
            <w:vAlign w:val="center"/>
          </w:tcPr>
          <w:p w14:paraId="021B3713" w14:textId="77777777" w:rsidR="0059414D" w:rsidRPr="00D35A93" w:rsidRDefault="0051453F">
            <w:pPr>
              <w:widowControl/>
              <w:jc w:val="center"/>
              <w:textAlignment w:val="bottom"/>
              <w:rPr>
                <w:rFonts w:ascii="Times New Roman" w:hAnsi="Times New Roman" w:cs="Times New Roman"/>
                <w:b/>
                <w:kern w:val="0"/>
                <w:szCs w:val="21"/>
              </w:rPr>
            </w:pPr>
            <w:r w:rsidRPr="00D35A93">
              <w:rPr>
                <w:rFonts w:ascii="宋体" w:eastAsia="宋体" w:hAnsi="宋体" w:cs="宋体" w:hint="eastAsia"/>
                <w:b/>
                <w:color w:val="000000"/>
                <w:kern w:val="0"/>
                <w:sz w:val="22"/>
                <w:lang w:bidi="ar"/>
              </w:rPr>
              <w:t>15</w:t>
            </w:r>
          </w:p>
        </w:tc>
        <w:tc>
          <w:tcPr>
            <w:tcW w:w="2131" w:type="dxa"/>
            <w:vAlign w:val="bottom"/>
          </w:tcPr>
          <w:p w14:paraId="691C820E" w14:textId="77777777" w:rsidR="0059414D" w:rsidRPr="00D35A93" w:rsidRDefault="0051453F">
            <w:pPr>
              <w:widowControl/>
              <w:jc w:val="center"/>
              <w:textAlignment w:val="bottom"/>
              <w:rPr>
                <w:rFonts w:ascii="Times New Roman" w:hAnsi="Times New Roman" w:cs="Times New Roman"/>
                <w:b/>
                <w:kern w:val="0"/>
                <w:szCs w:val="21"/>
              </w:rPr>
            </w:pPr>
            <w:r w:rsidRPr="00D35A93">
              <w:rPr>
                <w:rFonts w:ascii="宋体" w:eastAsia="宋体" w:hAnsi="宋体" w:cs="宋体" w:hint="eastAsia"/>
                <w:b/>
                <w:color w:val="000000"/>
                <w:kern w:val="0"/>
                <w:sz w:val="22"/>
                <w:lang w:bidi="ar"/>
              </w:rPr>
              <w:t>7.32</w:t>
            </w:r>
          </w:p>
        </w:tc>
      </w:tr>
      <w:tr w:rsidR="0059414D" w14:paraId="0F210C09" w14:textId="77777777">
        <w:trPr>
          <w:jc w:val="center"/>
        </w:trPr>
        <w:tc>
          <w:tcPr>
            <w:tcW w:w="2130" w:type="dxa"/>
            <w:vAlign w:val="center"/>
          </w:tcPr>
          <w:p w14:paraId="3E052DC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p>
        </w:tc>
        <w:tc>
          <w:tcPr>
            <w:tcW w:w="2130" w:type="dxa"/>
            <w:vAlign w:val="bottom"/>
          </w:tcPr>
          <w:p w14:paraId="67BAE26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8.8</w:t>
            </w:r>
          </w:p>
        </w:tc>
        <w:tc>
          <w:tcPr>
            <w:tcW w:w="2131" w:type="dxa"/>
            <w:vAlign w:val="center"/>
          </w:tcPr>
          <w:p w14:paraId="078C1D2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16</w:t>
            </w:r>
          </w:p>
        </w:tc>
        <w:tc>
          <w:tcPr>
            <w:tcW w:w="2131" w:type="dxa"/>
            <w:vAlign w:val="bottom"/>
          </w:tcPr>
          <w:p w14:paraId="254625B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9.55</w:t>
            </w:r>
          </w:p>
        </w:tc>
      </w:tr>
      <w:tr w:rsidR="0059414D" w14:paraId="1037E818" w14:textId="77777777">
        <w:trPr>
          <w:jc w:val="center"/>
        </w:trPr>
        <w:tc>
          <w:tcPr>
            <w:tcW w:w="2130" w:type="dxa"/>
            <w:vAlign w:val="center"/>
          </w:tcPr>
          <w:p w14:paraId="01D77E1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0" w:type="dxa"/>
            <w:vAlign w:val="bottom"/>
          </w:tcPr>
          <w:p w14:paraId="430D743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9.67</w:t>
            </w:r>
          </w:p>
        </w:tc>
        <w:tc>
          <w:tcPr>
            <w:tcW w:w="2131" w:type="dxa"/>
            <w:vAlign w:val="center"/>
          </w:tcPr>
          <w:p w14:paraId="762FB0A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17</w:t>
            </w:r>
          </w:p>
        </w:tc>
        <w:tc>
          <w:tcPr>
            <w:tcW w:w="2131" w:type="dxa"/>
            <w:vAlign w:val="bottom"/>
          </w:tcPr>
          <w:p w14:paraId="1E99E02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9.45</w:t>
            </w:r>
          </w:p>
        </w:tc>
      </w:tr>
      <w:tr w:rsidR="0059414D" w14:paraId="1687F4ED" w14:textId="77777777">
        <w:trPr>
          <w:jc w:val="center"/>
        </w:trPr>
        <w:tc>
          <w:tcPr>
            <w:tcW w:w="2130" w:type="dxa"/>
            <w:vAlign w:val="center"/>
          </w:tcPr>
          <w:p w14:paraId="4BCFAA9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0" w:type="dxa"/>
            <w:vAlign w:val="bottom"/>
          </w:tcPr>
          <w:p w14:paraId="78D08D2A" w14:textId="77777777" w:rsidR="0059414D" w:rsidRDefault="00D35A93">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r w:rsidR="0051453F">
              <w:rPr>
                <w:rFonts w:ascii="宋体" w:eastAsia="宋体" w:hAnsi="宋体" w:cs="宋体" w:hint="eastAsia"/>
                <w:color w:val="000000"/>
                <w:kern w:val="0"/>
                <w:sz w:val="22"/>
                <w:lang w:bidi="ar"/>
              </w:rPr>
              <w:t>.90</w:t>
            </w:r>
          </w:p>
        </w:tc>
        <w:tc>
          <w:tcPr>
            <w:tcW w:w="2131" w:type="dxa"/>
            <w:vAlign w:val="center"/>
          </w:tcPr>
          <w:p w14:paraId="73C47F7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18</w:t>
            </w:r>
          </w:p>
        </w:tc>
        <w:tc>
          <w:tcPr>
            <w:tcW w:w="2131" w:type="dxa"/>
            <w:vAlign w:val="bottom"/>
          </w:tcPr>
          <w:p w14:paraId="5459DD3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8.98</w:t>
            </w:r>
          </w:p>
        </w:tc>
      </w:tr>
      <w:tr w:rsidR="0059414D" w14:paraId="3081E009" w14:textId="77777777">
        <w:trPr>
          <w:jc w:val="center"/>
        </w:trPr>
        <w:tc>
          <w:tcPr>
            <w:tcW w:w="2130" w:type="dxa"/>
            <w:vAlign w:val="center"/>
          </w:tcPr>
          <w:p w14:paraId="78CBE43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0" w:type="dxa"/>
            <w:vAlign w:val="bottom"/>
          </w:tcPr>
          <w:p w14:paraId="40FDF93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10.12</w:t>
            </w:r>
          </w:p>
        </w:tc>
        <w:tc>
          <w:tcPr>
            <w:tcW w:w="2131" w:type="dxa"/>
            <w:vAlign w:val="center"/>
          </w:tcPr>
          <w:p w14:paraId="6A4E0BC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19</w:t>
            </w:r>
          </w:p>
        </w:tc>
        <w:tc>
          <w:tcPr>
            <w:tcW w:w="2131" w:type="dxa"/>
            <w:vAlign w:val="bottom"/>
          </w:tcPr>
          <w:p w14:paraId="4F2744A9"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10.34</w:t>
            </w:r>
          </w:p>
        </w:tc>
      </w:tr>
      <w:tr w:rsidR="0059414D" w14:paraId="751E9732" w14:textId="77777777">
        <w:trPr>
          <w:jc w:val="center"/>
        </w:trPr>
        <w:tc>
          <w:tcPr>
            <w:tcW w:w="2130" w:type="dxa"/>
            <w:vAlign w:val="center"/>
          </w:tcPr>
          <w:p w14:paraId="017C8E8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0" w:type="dxa"/>
            <w:vAlign w:val="bottom"/>
          </w:tcPr>
          <w:p w14:paraId="227512BC" w14:textId="77777777" w:rsidR="0059414D" w:rsidRDefault="0051453F">
            <w:pPr>
              <w:widowControl/>
              <w:jc w:val="center"/>
              <w:textAlignment w:val="bottom"/>
              <w:rPr>
                <w:rFonts w:ascii="宋体" w:eastAsia="宋体" w:hAnsi="宋体" w:cs="宋体"/>
                <w:color w:val="000000"/>
                <w:sz w:val="22"/>
              </w:rPr>
            </w:pPr>
            <w:r>
              <w:rPr>
                <w:rFonts w:ascii="宋体" w:eastAsia="宋体" w:hAnsi="宋体" w:cs="宋体" w:hint="eastAsia"/>
                <w:color w:val="000000"/>
                <w:kern w:val="0"/>
                <w:sz w:val="22"/>
                <w:lang w:bidi="ar"/>
              </w:rPr>
              <w:t>10.54</w:t>
            </w:r>
          </w:p>
        </w:tc>
        <w:tc>
          <w:tcPr>
            <w:tcW w:w="2131" w:type="dxa"/>
            <w:vAlign w:val="center"/>
          </w:tcPr>
          <w:p w14:paraId="005C7E8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20</w:t>
            </w:r>
          </w:p>
        </w:tc>
        <w:tc>
          <w:tcPr>
            <w:tcW w:w="2131" w:type="dxa"/>
            <w:vAlign w:val="bottom"/>
          </w:tcPr>
          <w:p w14:paraId="776EEA4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10.17</w:t>
            </w:r>
          </w:p>
        </w:tc>
      </w:tr>
    </w:tbl>
    <w:p w14:paraId="319B5146"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15  </w:t>
      </w:r>
      <w:r>
        <w:rPr>
          <w:rFonts w:ascii="Times New Roman" w:hint="eastAsia"/>
        </w:rPr>
        <w:t>不同腐植酸（液体）样品</w:t>
      </w:r>
      <w:r>
        <w:rPr>
          <w:rFonts w:ascii="Times New Roman" w:hint="eastAsia"/>
        </w:rPr>
        <w:t>pH</w:t>
      </w:r>
      <w:r>
        <w:rPr>
          <w:rFonts w:ascii="Times New Roman" w:hint="eastAsia"/>
        </w:rPr>
        <w:t>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7732365E" w14:textId="77777777">
        <w:trPr>
          <w:jc w:val="center"/>
        </w:trPr>
        <w:tc>
          <w:tcPr>
            <w:tcW w:w="2130" w:type="dxa"/>
          </w:tcPr>
          <w:p w14:paraId="2E89CADD" w14:textId="77777777" w:rsidR="0059414D" w:rsidRDefault="0051453F" w:rsidP="005B7FE6">
            <w:pPr>
              <w:widowControl/>
              <w:adjustRightInd w:val="0"/>
              <w:snapToGrid w:val="0"/>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7738515B" w14:textId="77777777" w:rsidR="0059414D" w:rsidRDefault="0051453F" w:rsidP="005B7FE6">
            <w:pPr>
              <w:adjustRightInd w:val="0"/>
              <w:snapToGrid w:val="0"/>
              <w:jc w:val="center"/>
              <w:rPr>
                <w:rFonts w:ascii="Times New Roman" w:hAnsi="Times New Roman" w:cs="Times New Roman"/>
                <w:kern w:val="0"/>
                <w:szCs w:val="21"/>
              </w:rPr>
            </w:pPr>
            <w:r>
              <w:rPr>
                <w:rFonts w:ascii="宋体" w:eastAsia="宋体" w:hAnsi="宋体" w:cs="宋体" w:hint="eastAsia"/>
                <w:color w:val="000000"/>
                <w:kern w:val="0"/>
                <w:sz w:val="22"/>
                <w:lang w:bidi="ar"/>
              </w:rPr>
              <w:t>pH</w:t>
            </w:r>
          </w:p>
        </w:tc>
        <w:tc>
          <w:tcPr>
            <w:tcW w:w="2131" w:type="dxa"/>
          </w:tcPr>
          <w:p w14:paraId="4695FE6E" w14:textId="77777777" w:rsidR="0059414D" w:rsidRDefault="0051453F" w:rsidP="005B7FE6">
            <w:pPr>
              <w:widowControl/>
              <w:adjustRightInd w:val="0"/>
              <w:snapToGrid w:val="0"/>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034E8ADF" w14:textId="77777777" w:rsidR="0059414D" w:rsidRDefault="0051453F" w:rsidP="005B7FE6">
            <w:pPr>
              <w:adjustRightInd w:val="0"/>
              <w:snapToGrid w:val="0"/>
              <w:jc w:val="center"/>
              <w:rPr>
                <w:rFonts w:ascii="Times New Roman" w:hAnsi="Times New Roman" w:cs="Times New Roman"/>
                <w:kern w:val="0"/>
                <w:szCs w:val="21"/>
              </w:rPr>
            </w:pPr>
            <w:r>
              <w:rPr>
                <w:rFonts w:ascii="Times New Roman" w:hAnsi="Times New Roman" w:cs="Times New Roman" w:hint="eastAsia"/>
                <w:kern w:val="0"/>
                <w:szCs w:val="21"/>
              </w:rPr>
              <w:t>pH</w:t>
            </w:r>
          </w:p>
        </w:tc>
      </w:tr>
      <w:tr w:rsidR="0059414D" w14:paraId="76CA5A9B" w14:textId="77777777">
        <w:trPr>
          <w:jc w:val="center"/>
        </w:trPr>
        <w:tc>
          <w:tcPr>
            <w:tcW w:w="2130" w:type="dxa"/>
            <w:vAlign w:val="center"/>
          </w:tcPr>
          <w:p w14:paraId="5C5CBE8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bottom"/>
          </w:tcPr>
          <w:p w14:paraId="6D06B7C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8.89</w:t>
            </w:r>
          </w:p>
        </w:tc>
        <w:tc>
          <w:tcPr>
            <w:tcW w:w="2131" w:type="dxa"/>
            <w:vAlign w:val="center"/>
          </w:tcPr>
          <w:p w14:paraId="35C552F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1" w:type="dxa"/>
            <w:vAlign w:val="bottom"/>
          </w:tcPr>
          <w:p w14:paraId="6E0CA95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9.54</w:t>
            </w:r>
          </w:p>
        </w:tc>
      </w:tr>
      <w:tr w:rsidR="0059414D" w14:paraId="3490083A" w14:textId="77777777">
        <w:trPr>
          <w:jc w:val="center"/>
        </w:trPr>
        <w:tc>
          <w:tcPr>
            <w:tcW w:w="2130" w:type="dxa"/>
            <w:vAlign w:val="center"/>
          </w:tcPr>
          <w:p w14:paraId="4C02D60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bottom"/>
          </w:tcPr>
          <w:p w14:paraId="23D9D62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9.78</w:t>
            </w:r>
          </w:p>
        </w:tc>
        <w:tc>
          <w:tcPr>
            <w:tcW w:w="2131" w:type="dxa"/>
            <w:vAlign w:val="center"/>
          </w:tcPr>
          <w:p w14:paraId="76F8BF6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1" w:type="dxa"/>
            <w:vAlign w:val="bottom"/>
          </w:tcPr>
          <w:p w14:paraId="3FD39F3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9.35</w:t>
            </w:r>
          </w:p>
        </w:tc>
      </w:tr>
      <w:tr w:rsidR="0059414D" w14:paraId="1A0A22B9" w14:textId="77777777">
        <w:trPr>
          <w:jc w:val="center"/>
        </w:trPr>
        <w:tc>
          <w:tcPr>
            <w:tcW w:w="2130" w:type="dxa"/>
            <w:vAlign w:val="center"/>
          </w:tcPr>
          <w:p w14:paraId="14986D9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w:t>
            </w:r>
          </w:p>
        </w:tc>
        <w:tc>
          <w:tcPr>
            <w:tcW w:w="2130" w:type="dxa"/>
            <w:vAlign w:val="bottom"/>
          </w:tcPr>
          <w:p w14:paraId="36B10F8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10.32</w:t>
            </w:r>
          </w:p>
        </w:tc>
        <w:tc>
          <w:tcPr>
            <w:tcW w:w="2131" w:type="dxa"/>
            <w:vAlign w:val="center"/>
          </w:tcPr>
          <w:p w14:paraId="41AC6C9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1" w:type="dxa"/>
            <w:vAlign w:val="bottom"/>
          </w:tcPr>
          <w:p w14:paraId="0ECE43C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9.12</w:t>
            </w:r>
          </w:p>
        </w:tc>
      </w:tr>
      <w:tr w:rsidR="0059414D" w14:paraId="4E9612B1" w14:textId="77777777">
        <w:trPr>
          <w:jc w:val="center"/>
        </w:trPr>
        <w:tc>
          <w:tcPr>
            <w:tcW w:w="2130" w:type="dxa"/>
            <w:vAlign w:val="center"/>
          </w:tcPr>
          <w:p w14:paraId="11E2E45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bottom"/>
          </w:tcPr>
          <w:p w14:paraId="485F4608"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9.45</w:t>
            </w:r>
          </w:p>
        </w:tc>
        <w:tc>
          <w:tcPr>
            <w:tcW w:w="2131" w:type="dxa"/>
            <w:vAlign w:val="center"/>
          </w:tcPr>
          <w:p w14:paraId="0A0E8BF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1" w:type="dxa"/>
            <w:vAlign w:val="bottom"/>
          </w:tcPr>
          <w:p w14:paraId="6B1CE55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10.06</w:t>
            </w:r>
          </w:p>
        </w:tc>
      </w:tr>
      <w:tr w:rsidR="0059414D" w14:paraId="6EC43789" w14:textId="77777777">
        <w:trPr>
          <w:jc w:val="center"/>
        </w:trPr>
        <w:tc>
          <w:tcPr>
            <w:tcW w:w="2130" w:type="dxa"/>
            <w:vAlign w:val="center"/>
          </w:tcPr>
          <w:p w14:paraId="6E57E80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bottom"/>
          </w:tcPr>
          <w:p w14:paraId="3D6DBC5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10.44</w:t>
            </w:r>
          </w:p>
        </w:tc>
        <w:tc>
          <w:tcPr>
            <w:tcW w:w="2131" w:type="dxa"/>
            <w:vAlign w:val="center"/>
          </w:tcPr>
          <w:p w14:paraId="35E0625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11</w:t>
            </w:r>
          </w:p>
        </w:tc>
        <w:tc>
          <w:tcPr>
            <w:tcW w:w="2131" w:type="dxa"/>
            <w:vAlign w:val="bottom"/>
          </w:tcPr>
          <w:p w14:paraId="7C29E85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8.67</w:t>
            </w:r>
          </w:p>
        </w:tc>
      </w:tr>
      <w:tr w:rsidR="0059414D" w14:paraId="12E59641" w14:textId="77777777">
        <w:trPr>
          <w:jc w:val="center"/>
        </w:trPr>
        <w:tc>
          <w:tcPr>
            <w:tcW w:w="2130" w:type="dxa"/>
            <w:vAlign w:val="center"/>
          </w:tcPr>
          <w:p w14:paraId="7893776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p>
        </w:tc>
        <w:tc>
          <w:tcPr>
            <w:tcW w:w="2130" w:type="dxa"/>
            <w:vAlign w:val="bottom"/>
          </w:tcPr>
          <w:p w14:paraId="4C59B01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8.55</w:t>
            </w:r>
          </w:p>
        </w:tc>
        <w:tc>
          <w:tcPr>
            <w:tcW w:w="2131" w:type="dxa"/>
            <w:vAlign w:val="center"/>
          </w:tcPr>
          <w:p w14:paraId="27C6642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bottom"/>
          </w:tcPr>
          <w:p w14:paraId="00FD5D0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9.38</w:t>
            </w:r>
          </w:p>
        </w:tc>
      </w:tr>
    </w:tbl>
    <w:p w14:paraId="0CC1F982"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szCs w:val="21"/>
        </w:rPr>
      </w:pPr>
    </w:p>
    <w:p w14:paraId="088DB08E" w14:textId="77777777" w:rsidR="0059414D" w:rsidRDefault="0051453F" w:rsidP="00D8663F">
      <w:pPr>
        <w:adjustRightInd w:val="0"/>
        <w:snapToGrid w:val="0"/>
        <w:spacing w:line="300" w:lineRule="auto"/>
        <w:ind w:firstLine="435"/>
        <w:rPr>
          <w:rFonts w:ascii="Times New Roman" w:eastAsia="宋体" w:hAnsi="Times New Roman" w:cs="Times New Roman"/>
          <w:kern w:val="0"/>
        </w:rPr>
      </w:pPr>
      <w:r>
        <w:rPr>
          <w:rFonts w:ascii="Times New Roman" w:eastAsia="宋体" w:hAnsi="Times New Roman" w:cs="Times New Roman" w:hint="eastAsia"/>
          <w:kern w:val="0"/>
        </w:rPr>
        <w:t>参照</w:t>
      </w:r>
      <w:r>
        <w:rPr>
          <w:rFonts w:ascii="Times New Roman" w:eastAsia="宋体" w:hAnsi="Times New Roman" w:cs="Times New Roman" w:hint="eastAsia"/>
          <w:kern w:val="0"/>
        </w:rPr>
        <w:t>NY/T1973</w:t>
      </w:r>
      <w:r>
        <w:rPr>
          <w:rFonts w:ascii="Times New Roman" w:eastAsia="宋体" w:hAnsi="Times New Roman" w:cs="Times New Roman" w:hint="eastAsia"/>
          <w:kern w:val="0"/>
        </w:rPr>
        <w:t>测定产品</w:t>
      </w:r>
      <w:r>
        <w:rPr>
          <w:rFonts w:ascii="Times New Roman" w:eastAsia="宋体" w:hAnsi="Times New Roman" w:cs="Times New Roman" w:hint="eastAsia"/>
          <w:kern w:val="0"/>
        </w:rPr>
        <w:t>pH</w:t>
      </w:r>
      <w:r>
        <w:rPr>
          <w:rFonts w:ascii="Times New Roman" w:eastAsia="宋体" w:hAnsi="Times New Roman" w:cs="Times New Roman" w:hint="eastAsia"/>
          <w:kern w:val="0"/>
        </w:rPr>
        <w:t>。测定了</w:t>
      </w:r>
      <w:r>
        <w:rPr>
          <w:rFonts w:ascii="Times New Roman" w:eastAsia="宋体" w:hAnsi="Times New Roman" w:cs="Times New Roman" w:hint="eastAsia"/>
          <w:kern w:val="0"/>
        </w:rPr>
        <w:t>20</w:t>
      </w:r>
      <w:r>
        <w:rPr>
          <w:rFonts w:ascii="Times New Roman" w:eastAsia="宋体" w:hAnsi="Times New Roman" w:cs="Times New Roman" w:hint="eastAsia"/>
          <w:kern w:val="0"/>
        </w:rPr>
        <w:t>个不同腐植酸（固体）样品，</w:t>
      </w:r>
      <w:r>
        <w:rPr>
          <w:rFonts w:ascii="Times New Roman" w:eastAsia="宋体" w:hAnsi="Times New Roman" w:cs="Times New Roman" w:hint="eastAsia"/>
          <w:kern w:val="0"/>
        </w:rPr>
        <w:t>12</w:t>
      </w:r>
      <w:r>
        <w:rPr>
          <w:rFonts w:ascii="Times New Roman" w:eastAsia="宋体" w:hAnsi="Times New Roman" w:cs="Times New Roman" w:hint="eastAsia"/>
          <w:kern w:val="0"/>
        </w:rPr>
        <w:t>个腐植酸（液体）样品，</w:t>
      </w:r>
      <w:r w:rsidR="00D35A93">
        <w:rPr>
          <w:rFonts w:ascii="Times New Roman" w:eastAsia="宋体" w:hAnsi="Times New Roman" w:cs="Times New Roman" w:hint="eastAsia"/>
          <w:kern w:val="0"/>
        </w:rPr>
        <w:t>pH</w:t>
      </w:r>
      <w:r w:rsidR="00D35A93">
        <w:rPr>
          <w:rFonts w:ascii="Times New Roman" w:eastAsia="宋体" w:hAnsi="Times New Roman" w:cs="Times New Roman" w:hint="eastAsia"/>
          <w:kern w:val="0"/>
        </w:rPr>
        <w:t>范围为</w:t>
      </w:r>
      <w:r w:rsidR="00D35A93">
        <w:rPr>
          <w:rFonts w:ascii="Times New Roman" w:eastAsia="宋体" w:hAnsi="Times New Roman" w:cs="Times New Roman" w:hint="eastAsia"/>
          <w:kern w:val="0"/>
        </w:rPr>
        <w:t>6.34-10.66</w:t>
      </w:r>
      <w:r w:rsidR="00D35A93">
        <w:rPr>
          <w:rFonts w:ascii="Times New Roman" w:eastAsia="宋体" w:hAnsi="Times New Roman" w:cs="Times New Roman" w:hint="eastAsia"/>
          <w:kern w:val="0"/>
        </w:rPr>
        <w:t>，</w:t>
      </w:r>
      <w:r w:rsidR="00FF49F0">
        <w:rPr>
          <w:rFonts w:ascii="Times New Roman" w:eastAsia="宋体" w:hAnsi="Times New Roman" w:cs="Times New Roman" w:hint="eastAsia"/>
          <w:kern w:val="0"/>
        </w:rPr>
        <w:t>其中，</w:t>
      </w:r>
      <w:r w:rsidR="00FF49F0">
        <w:rPr>
          <w:rFonts w:ascii="Times New Roman" w:eastAsia="宋体" w:hAnsi="Times New Roman" w:cs="Times New Roman" w:hint="eastAsia"/>
          <w:kern w:val="0"/>
        </w:rPr>
        <w:t>pH</w:t>
      </w:r>
      <w:r w:rsidR="00FF49F0">
        <w:rPr>
          <w:rFonts w:ascii="Times New Roman" w:eastAsia="宋体" w:hAnsi="Times New Roman" w:cs="Times New Roman" w:hint="eastAsia"/>
          <w:kern w:val="0"/>
        </w:rPr>
        <w:t>＞</w:t>
      </w:r>
      <w:r w:rsidR="00FF49F0">
        <w:rPr>
          <w:rFonts w:ascii="Times New Roman" w:eastAsia="宋体" w:hAnsi="Times New Roman" w:cs="Times New Roman" w:hint="eastAsia"/>
          <w:kern w:val="0"/>
        </w:rPr>
        <w:t>10</w:t>
      </w:r>
      <w:r w:rsidR="00FF49F0">
        <w:rPr>
          <w:rFonts w:ascii="Times New Roman" w:eastAsia="宋体" w:hAnsi="Times New Roman" w:cs="Times New Roman" w:hint="eastAsia"/>
          <w:kern w:val="0"/>
        </w:rPr>
        <w:t>的产品占总数的</w:t>
      </w:r>
      <w:r w:rsidR="00FF49F0">
        <w:rPr>
          <w:rFonts w:ascii="Times New Roman" w:eastAsia="宋体" w:hAnsi="Times New Roman" w:cs="Times New Roman" w:hint="eastAsia"/>
          <w:kern w:val="0"/>
        </w:rPr>
        <w:t>28.1%</w:t>
      </w:r>
      <w:r w:rsidR="00FF49F0">
        <w:rPr>
          <w:rFonts w:ascii="Times New Roman" w:eastAsia="宋体" w:hAnsi="Times New Roman" w:cs="Times New Roman" w:hint="eastAsia"/>
          <w:kern w:val="0"/>
        </w:rPr>
        <w:t>，</w:t>
      </w:r>
      <w:r>
        <w:rPr>
          <w:rFonts w:ascii="Times New Roman" w:eastAsia="宋体" w:hAnsi="Times New Roman" w:cs="Times New Roman" w:hint="eastAsia"/>
          <w:kern w:val="0"/>
        </w:rPr>
        <w:t>因此将</w:t>
      </w:r>
      <w:r>
        <w:rPr>
          <w:rFonts w:ascii="Times New Roman" w:eastAsia="宋体" w:hAnsi="Times New Roman" w:cs="Times New Roman" w:hint="eastAsia"/>
          <w:kern w:val="0"/>
        </w:rPr>
        <w:t>pH</w:t>
      </w:r>
      <w:r w:rsidR="00D8663F">
        <w:rPr>
          <w:rFonts w:ascii="Times New Roman" w:eastAsia="宋体" w:hAnsi="Times New Roman" w:cs="Times New Roman" w:hint="eastAsia"/>
          <w:kern w:val="0"/>
        </w:rPr>
        <w:t>的范围定为</w:t>
      </w:r>
      <w:r w:rsidR="00FF49F0">
        <w:rPr>
          <w:rFonts w:ascii="Times New Roman" w:eastAsia="宋体" w:hAnsi="Times New Roman" w:cs="Times New Roman" w:hint="eastAsia"/>
          <w:kern w:val="0"/>
        </w:rPr>
        <w:t>6</w:t>
      </w:r>
      <w:r>
        <w:rPr>
          <w:rFonts w:ascii="Times New Roman" w:eastAsia="宋体" w:hAnsi="Times New Roman" w:cs="Times New Roman" w:hint="eastAsia"/>
          <w:kern w:val="0"/>
        </w:rPr>
        <w:t>~</w:t>
      </w:r>
      <w:r w:rsidR="00D8663F">
        <w:rPr>
          <w:rFonts w:ascii="Times New Roman" w:eastAsia="宋体" w:hAnsi="Times New Roman" w:cs="Times New Roman" w:hint="eastAsia"/>
          <w:kern w:val="0"/>
        </w:rPr>
        <w:t>11</w:t>
      </w:r>
      <w:r>
        <w:rPr>
          <w:rFonts w:ascii="Times New Roman" w:eastAsia="宋体" w:hAnsi="Times New Roman" w:cs="Times New Roman" w:hint="eastAsia"/>
          <w:kern w:val="0"/>
        </w:rPr>
        <w:t>。</w:t>
      </w:r>
    </w:p>
    <w:p w14:paraId="3EBAFBE2" w14:textId="77777777" w:rsidR="0059414D" w:rsidRDefault="0051453F">
      <w:pPr>
        <w:adjustRightInd w:val="0"/>
        <w:snapToGrid w:val="0"/>
        <w:spacing w:line="300" w:lineRule="auto"/>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、腐植酸</w:t>
      </w:r>
      <w:r>
        <w:rPr>
          <w:rFonts w:ascii="Times New Roman" w:hAnsi="Times New Roman" w:cs="Times New Roman" w:hint="eastAsia"/>
        </w:rPr>
        <w:t>粘度限值的确定</w:t>
      </w:r>
    </w:p>
    <w:p w14:paraId="265DE974"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16 </w:t>
      </w:r>
      <w:r>
        <w:rPr>
          <w:rFonts w:ascii="Times New Roman" w:hint="eastAsia"/>
        </w:rPr>
        <w:t>不同腐植酸（液体）样品粘度测定结果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6BAA550E" w14:textId="77777777">
        <w:trPr>
          <w:jc w:val="center"/>
        </w:trPr>
        <w:tc>
          <w:tcPr>
            <w:tcW w:w="2130" w:type="dxa"/>
          </w:tcPr>
          <w:p w14:paraId="7BD1C8E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0" w:type="dxa"/>
          </w:tcPr>
          <w:p w14:paraId="3A16185F"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粘度（</w:t>
            </w:r>
            <w:proofErr w:type="spellStart"/>
            <w:r>
              <w:rPr>
                <w:rFonts w:ascii="宋体" w:eastAsia="宋体" w:hAnsi="宋体" w:cs="宋体" w:hint="eastAsia"/>
                <w:color w:val="000000"/>
                <w:kern w:val="0"/>
                <w:sz w:val="22"/>
                <w:lang w:bidi="ar"/>
              </w:rPr>
              <w:t>mPa.s</w:t>
            </w:r>
            <w:proofErr w:type="spellEnd"/>
            <w:r>
              <w:rPr>
                <w:rFonts w:ascii="宋体" w:eastAsia="宋体" w:hAnsi="宋体" w:cs="宋体" w:hint="eastAsia"/>
                <w:color w:val="000000"/>
                <w:kern w:val="0"/>
                <w:sz w:val="22"/>
                <w:lang w:bidi="ar"/>
              </w:rPr>
              <w:t>）</w:t>
            </w:r>
          </w:p>
        </w:tc>
        <w:tc>
          <w:tcPr>
            <w:tcW w:w="2131" w:type="dxa"/>
          </w:tcPr>
          <w:p w14:paraId="7CB1BA1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样品编号</w:t>
            </w:r>
          </w:p>
        </w:tc>
        <w:tc>
          <w:tcPr>
            <w:tcW w:w="2131" w:type="dxa"/>
          </w:tcPr>
          <w:p w14:paraId="493E0749" w14:textId="77777777" w:rsidR="0059414D" w:rsidRDefault="0051453F">
            <w:pPr>
              <w:adjustRightInd w:val="0"/>
              <w:snapToGrid w:val="0"/>
              <w:spacing w:afterLines="50" w:after="156" w:line="300" w:lineRule="auto"/>
              <w:jc w:val="center"/>
              <w:rPr>
                <w:rFonts w:ascii="Times New Roman" w:hAnsi="Times New Roman" w:cs="Times New Roman"/>
                <w:kern w:val="0"/>
                <w:szCs w:val="21"/>
              </w:rPr>
            </w:pPr>
            <w:r>
              <w:rPr>
                <w:rFonts w:ascii="宋体" w:eastAsia="宋体" w:hAnsi="宋体" w:cs="宋体" w:hint="eastAsia"/>
                <w:color w:val="000000"/>
                <w:kern w:val="0"/>
                <w:sz w:val="22"/>
                <w:lang w:bidi="ar"/>
              </w:rPr>
              <w:t>粘度（</w:t>
            </w:r>
            <w:proofErr w:type="spellStart"/>
            <w:r>
              <w:rPr>
                <w:rFonts w:ascii="宋体" w:eastAsia="宋体" w:hAnsi="宋体" w:cs="宋体" w:hint="eastAsia"/>
                <w:color w:val="000000"/>
                <w:kern w:val="0"/>
                <w:sz w:val="22"/>
                <w:lang w:bidi="ar"/>
              </w:rPr>
              <w:t>mPa.s</w:t>
            </w:r>
            <w:proofErr w:type="spellEnd"/>
            <w:r>
              <w:rPr>
                <w:rFonts w:ascii="宋体" w:eastAsia="宋体" w:hAnsi="宋体" w:cs="宋体" w:hint="eastAsia"/>
                <w:color w:val="000000"/>
                <w:kern w:val="0"/>
                <w:sz w:val="22"/>
                <w:lang w:bidi="ar"/>
              </w:rPr>
              <w:t>）</w:t>
            </w:r>
          </w:p>
        </w:tc>
      </w:tr>
      <w:tr w:rsidR="0059414D" w14:paraId="67FBEC2B" w14:textId="77777777">
        <w:trPr>
          <w:jc w:val="center"/>
        </w:trPr>
        <w:tc>
          <w:tcPr>
            <w:tcW w:w="2130" w:type="dxa"/>
            <w:vAlign w:val="center"/>
          </w:tcPr>
          <w:p w14:paraId="008DFC9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w:t>
            </w:r>
          </w:p>
        </w:tc>
        <w:tc>
          <w:tcPr>
            <w:tcW w:w="2130" w:type="dxa"/>
            <w:vAlign w:val="bottom"/>
          </w:tcPr>
          <w:p w14:paraId="6220D6B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3.46</w:t>
            </w:r>
          </w:p>
        </w:tc>
        <w:tc>
          <w:tcPr>
            <w:tcW w:w="2131" w:type="dxa"/>
            <w:vAlign w:val="center"/>
          </w:tcPr>
          <w:p w14:paraId="20D9455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w:t>
            </w:r>
          </w:p>
        </w:tc>
        <w:tc>
          <w:tcPr>
            <w:tcW w:w="2131" w:type="dxa"/>
            <w:vAlign w:val="bottom"/>
          </w:tcPr>
          <w:p w14:paraId="4A45849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3.56</w:t>
            </w:r>
          </w:p>
        </w:tc>
      </w:tr>
      <w:tr w:rsidR="0059414D" w14:paraId="4A79E0C6" w14:textId="77777777">
        <w:trPr>
          <w:jc w:val="center"/>
        </w:trPr>
        <w:tc>
          <w:tcPr>
            <w:tcW w:w="2130" w:type="dxa"/>
            <w:vAlign w:val="center"/>
          </w:tcPr>
          <w:p w14:paraId="46A0159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w:t>
            </w:r>
          </w:p>
        </w:tc>
        <w:tc>
          <w:tcPr>
            <w:tcW w:w="2130" w:type="dxa"/>
            <w:vAlign w:val="bottom"/>
          </w:tcPr>
          <w:p w14:paraId="066A531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2.56</w:t>
            </w:r>
          </w:p>
        </w:tc>
        <w:tc>
          <w:tcPr>
            <w:tcW w:w="2131" w:type="dxa"/>
            <w:vAlign w:val="center"/>
          </w:tcPr>
          <w:p w14:paraId="3802B3DC"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8</w:t>
            </w:r>
          </w:p>
        </w:tc>
        <w:tc>
          <w:tcPr>
            <w:tcW w:w="2131" w:type="dxa"/>
            <w:vAlign w:val="bottom"/>
          </w:tcPr>
          <w:p w14:paraId="5ABAC73A"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6.89</w:t>
            </w:r>
          </w:p>
        </w:tc>
      </w:tr>
      <w:tr w:rsidR="0059414D" w14:paraId="5887FF25" w14:textId="77777777">
        <w:trPr>
          <w:jc w:val="center"/>
        </w:trPr>
        <w:tc>
          <w:tcPr>
            <w:tcW w:w="2130" w:type="dxa"/>
            <w:vAlign w:val="center"/>
          </w:tcPr>
          <w:p w14:paraId="40B0EA9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w:t>
            </w:r>
          </w:p>
        </w:tc>
        <w:tc>
          <w:tcPr>
            <w:tcW w:w="2130" w:type="dxa"/>
            <w:vAlign w:val="bottom"/>
          </w:tcPr>
          <w:p w14:paraId="5E237FF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6.24</w:t>
            </w:r>
          </w:p>
        </w:tc>
        <w:tc>
          <w:tcPr>
            <w:tcW w:w="2131" w:type="dxa"/>
            <w:vAlign w:val="center"/>
          </w:tcPr>
          <w:p w14:paraId="12F0DE8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9</w:t>
            </w:r>
          </w:p>
        </w:tc>
        <w:tc>
          <w:tcPr>
            <w:tcW w:w="2131" w:type="dxa"/>
            <w:vAlign w:val="bottom"/>
          </w:tcPr>
          <w:p w14:paraId="3D96AD6D"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7.45</w:t>
            </w:r>
          </w:p>
        </w:tc>
      </w:tr>
      <w:tr w:rsidR="0059414D" w14:paraId="425C062F" w14:textId="77777777">
        <w:trPr>
          <w:jc w:val="center"/>
        </w:trPr>
        <w:tc>
          <w:tcPr>
            <w:tcW w:w="2130" w:type="dxa"/>
            <w:vAlign w:val="center"/>
          </w:tcPr>
          <w:p w14:paraId="74541265"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4</w:t>
            </w:r>
          </w:p>
        </w:tc>
        <w:tc>
          <w:tcPr>
            <w:tcW w:w="2130" w:type="dxa"/>
            <w:vAlign w:val="bottom"/>
          </w:tcPr>
          <w:p w14:paraId="5852925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3.56</w:t>
            </w:r>
          </w:p>
        </w:tc>
        <w:tc>
          <w:tcPr>
            <w:tcW w:w="2131" w:type="dxa"/>
            <w:vAlign w:val="center"/>
          </w:tcPr>
          <w:p w14:paraId="72C60CB7"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10</w:t>
            </w:r>
          </w:p>
        </w:tc>
        <w:tc>
          <w:tcPr>
            <w:tcW w:w="2131" w:type="dxa"/>
            <w:vAlign w:val="bottom"/>
          </w:tcPr>
          <w:p w14:paraId="32E2D040"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7.55</w:t>
            </w:r>
          </w:p>
        </w:tc>
      </w:tr>
      <w:tr w:rsidR="0059414D" w14:paraId="2D21A0F0" w14:textId="77777777">
        <w:trPr>
          <w:jc w:val="center"/>
        </w:trPr>
        <w:tc>
          <w:tcPr>
            <w:tcW w:w="2130" w:type="dxa"/>
            <w:vAlign w:val="center"/>
          </w:tcPr>
          <w:p w14:paraId="5F66183B"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5</w:t>
            </w:r>
          </w:p>
        </w:tc>
        <w:tc>
          <w:tcPr>
            <w:tcW w:w="2130" w:type="dxa"/>
            <w:vAlign w:val="bottom"/>
          </w:tcPr>
          <w:p w14:paraId="6ABC837F"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3.13</w:t>
            </w:r>
          </w:p>
        </w:tc>
        <w:tc>
          <w:tcPr>
            <w:tcW w:w="2131" w:type="dxa"/>
            <w:vAlign w:val="center"/>
          </w:tcPr>
          <w:p w14:paraId="5D0D86D6"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11</w:t>
            </w:r>
          </w:p>
        </w:tc>
        <w:tc>
          <w:tcPr>
            <w:tcW w:w="2131" w:type="dxa"/>
            <w:vAlign w:val="bottom"/>
          </w:tcPr>
          <w:p w14:paraId="6AFAA891"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3.54</w:t>
            </w:r>
          </w:p>
        </w:tc>
      </w:tr>
      <w:tr w:rsidR="0059414D" w14:paraId="5382B935" w14:textId="77777777">
        <w:trPr>
          <w:jc w:val="center"/>
        </w:trPr>
        <w:tc>
          <w:tcPr>
            <w:tcW w:w="2130" w:type="dxa"/>
            <w:vAlign w:val="center"/>
          </w:tcPr>
          <w:p w14:paraId="7E27DE24"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6</w:t>
            </w:r>
          </w:p>
        </w:tc>
        <w:tc>
          <w:tcPr>
            <w:tcW w:w="2130" w:type="dxa"/>
            <w:vAlign w:val="bottom"/>
          </w:tcPr>
          <w:p w14:paraId="5A820BCE"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2.99</w:t>
            </w:r>
          </w:p>
        </w:tc>
        <w:tc>
          <w:tcPr>
            <w:tcW w:w="2131" w:type="dxa"/>
            <w:vAlign w:val="center"/>
          </w:tcPr>
          <w:p w14:paraId="4A0BBA13"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12</w:t>
            </w:r>
          </w:p>
        </w:tc>
        <w:tc>
          <w:tcPr>
            <w:tcW w:w="2131" w:type="dxa"/>
            <w:vAlign w:val="bottom"/>
          </w:tcPr>
          <w:p w14:paraId="3EEE3562" w14:textId="77777777" w:rsidR="0059414D" w:rsidRDefault="0051453F">
            <w:pPr>
              <w:widowControl/>
              <w:jc w:val="center"/>
              <w:textAlignment w:val="bottom"/>
              <w:rPr>
                <w:rFonts w:ascii="Times New Roman" w:hAnsi="Times New Roman" w:cs="Times New Roman"/>
                <w:kern w:val="0"/>
                <w:szCs w:val="21"/>
              </w:rPr>
            </w:pPr>
            <w:r>
              <w:rPr>
                <w:rFonts w:ascii="宋体" w:eastAsia="宋体" w:hAnsi="宋体" w:cs="宋体" w:hint="eastAsia"/>
                <w:color w:val="000000"/>
                <w:kern w:val="0"/>
                <w:sz w:val="22"/>
                <w:lang w:bidi="ar"/>
              </w:rPr>
              <w:t>3.76</w:t>
            </w:r>
          </w:p>
        </w:tc>
      </w:tr>
    </w:tbl>
    <w:p w14:paraId="59080077" w14:textId="77777777" w:rsidR="0059414D" w:rsidRDefault="0059414D">
      <w:pPr>
        <w:adjustRightInd w:val="0"/>
        <w:snapToGrid w:val="0"/>
        <w:spacing w:line="300" w:lineRule="auto"/>
        <w:ind w:firstLine="435"/>
        <w:jc w:val="center"/>
        <w:rPr>
          <w:rFonts w:ascii="Times New Roman"/>
        </w:rPr>
      </w:pPr>
    </w:p>
    <w:p w14:paraId="2306C9BF" w14:textId="77777777" w:rsidR="0059414D" w:rsidRDefault="0059414D">
      <w:pPr>
        <w:adjustRightInd w:val="0"/>
        <w:snapToGrid w:val="0"/>
        <w:spacing w:line="300" w:lineRule="auto"/>
        <w:ind w:firstLine="435"/>
        <w:jc w:val="center"/>
        <w:rPr>
          <w:rFonts w:ascii="Times New Roman"/>
        </w:rPr>
      </w:pPr>
    </w:p>
    <w:p w14:paraId="5676692B" w14:textId="77777777" w:rsidR="0059414D" w:rsidRDefault="0051453F">
      <w:pPr>
        <w:adjustRightInd w:val="0"/>
        <w:snapToGrid w:val="0"/>
        <w:spacing w:line="300" w:lineRule="auto"/>
        <w:ind w:firstLine="435"/>
        <w:jc w:val="center"/>
        <w:rPr>
          <w:rFonts w:ascii="Times New Roman"/>
        </w:rPr>
      </w:pPr>
      <w:r>
        <w:rPr>
          <w:rFonts w:ascii="Times New Roman" w:hint="eastAsia"/>
        </w:rPr>
        <w:lastRenderedPageBreak/>
        <w:t>表</w:t>
      </w:r>
      <w:r>
        <w:rPr>
          <w:rFonts w:ascii="Times New Roman" w:hint="eastAsia"/>
        </w:rPr>
        <w:t xml:space="preserve">17 </w:t>
      </w:r>
      <w:r>
        <w:rPr>
          <w:rFonts w:ascii="Times New Roman" w:hint="eastAsia"/>
        </w:rPr>
        <w:t>不同贮存时间腐植酸（液体）样品粘度测定结果</w:t>
      </w:r>
    </w:p>
    <w:tbl>
      <w:tblPr>
        <w:tblStyle w:val="af"/>
        <w:tblW w:w="0" w:type="auto"/>
        <w:jc w:val="center"/>
        <w:tblLook w:val="04A0" w:firstRow="1" w:lastRow="0" w:firstColumn="1" w:lastColumn="0" w:noHBand="0" w:noVBand="1"/>
      </w:tblPr>
      <w:tblGrid>
        <w:gridCol w:w="2130"/>
        <w:gridCol w:w="2130"/>
        <w:gridCol w:w="2131"/>
        <w:gridCol w:w="2131"/>
      </w:tblGrid>
      <w:tr w:rsidR="0059414D" w14:paraId="3C24F9C2" w14:textId="77777777">
        <w:trPr>
          <w:trHeight w:val="283"/>
          <w:jc w:val="center"/>
        </w:trPr>
        <w:tc>
          <w:tcPr>
            <w:tcW w:w="2130" w:type="dxa"/>
            <w:vMerge w:val="restart"/>
            <w:vAlign w:val="center"/>
          </w:tcPr>
          <w:p w14:paraId="17AD8D16"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样品编号</w:t>
            </w:r>
          </w:p>
        </w:tc>
        <w:tc>
          <w:tcPr>
            <w:tcW w:w="6392" w:type="dxa"/>
            <w:gridSpan w:val="3"/>
            <w:vAlign w:val="center"/>
          </w:tcPr>
          <w:p w14:paraId="780A3F22" w14:textId="77777777" w:rsidR="0059414D" w:rsidRPr="005B7FE6" w:rsidRDefault="0051453F" w:rsidP="005B7FE6">
            <w:pPr>
              <w:adjustRightInd w:val="0"/>
              <w:snapToGrid w:val="0"/>
              <w:jc w:val="center"/>
              <w:rPr>
                <w:rFonts w:ascii="Times New Roman" w:hAnsi="Times New Roman" w:cs="Times New Roman"/>
                <w:kern w:val="0"/>
                <w:szCs w:val="21"/>
              </w:rPr>
            </w:pPr>
            <w:r w:rsidRPr="005B7FE6">
              <w:rPr>
                <w:rFonts w:ascii="宋体" w:eastAsia="宋体" w:hAnsi="宋体" w:cs="宋体" w:hint="eastAsia"/>
                <w:color w:val="000000"/>
                <w:kern w:val="0"/>
                <w:szCs w:val="21"/>
                <w:lang w:bidi="ar"/>
              </w:rPr>
              <w:t>粘度（</w:t>
            </w:r>
            <w:proofErr w:type="spellStart"/>
            <w:r w:rsidRPr="005B7FE6">
              <w:rPr>
                <w:rFonts w:ascii="宋体" w:eastAsia="宋体" w:hAnsi="宋体" w:cs="宋体" w:hint="eastAsia"/>
                <w:color w:val="000000"/>
                <w:kern w:val="0"/>
                <w:szCs w:val="21"/>
                <w:lang w:bidi="ar"/>
              </w:rPr>
              <w:t>mPa.s</w:t>
            </w:r>
            <w:proofErr w:type="spellEnd"/>
            <w:r w:rsidRPr="005B7FE6">
              <w:rPr>
                <w:rFonts w:ascii="宋体" w:eastAsia="宋体" w:hAnsi="宋体" w:cs="宋体" w:hint="eastAsia"/>
                <w:color w:val="000000"/>
                <w:kern w:val="0"/>
                <w:szCs w:val="21"/>
                <w:lang w:bidi="ar"/>
              </w:rPr>
              <w:t>）</w:t>
            </w:r>
          </w:p>
        </w:tc>
      </w:tr>
      <w:tr w:rsidR="0059414D" w14:paraId="567364BB" w14:textId="77777777" w:rsidTr="00E616C0">
        <w:trPr>
          <w:trHeight w:val="239"/>
          <w:jc w:val="center"/>
        </w:trPr>
        <w:tc>
          <w:tcPr>
            <w:tcW w:w="2130" w:type="dxa"/>
            <w:vMerge/>
          </w:tcPr>
          <w:p w14:paraId="718E4B6F" w14:textId="77777777" w:rsidR="0059414D" w:rsidRPr="005B7FE6" w:rsidRDefault="0059414D" w:rsidP="005B7FE6">
            <w:pPr>
              <w:widowControl/>
              <w:adjustRightInd w:val="0"/>
              <w:snapToGrid w:val="0"/>
              <w:jc w:val="center"/>
              <w:textAlignment w:val="bottom"/>
              <w:rPr>
                <w:rFonts w:ascii="宋体" w:eastAsia="宋体" w:hAnsi="宋体" w:cs="宋体"/>
                <w:color w:val="000000"/>
                <w:kern w:val="0"/>
                <w:szCs w:val="21"/>
                <w:lang w:bidi="ar"/>
              </w:rPr>
            </w:pPr>
          </w:p>
        </w:tc>
        <w:tc>
          <w:tcPr>
            <w:tcW w:w="2130" w:type="dxa"/>
            <w:vAlign w:val="center"/>
          </w:tcPr>
          <w:p w14:paraId="7AF0D7DC"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1d</w:t>
            </w:r>
          </w:p>
        </w:tc>
        <w:tc>
          <w:tcPr>
            <w:tcW w:w="2131" w:type="dxa"/>
            <w:vAlign w:val="center"/>
          </w:tcPr>
          <w:p w14:paraId="0495FA8D"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90d</w:t>
            </w:r>
          </w:p>
        </w:tc>
        <w:tc>
          <w:tcPr>
            <w:tcW w:w="2131" w:type="dxa"/>
            <w:vAlign w:val="center"/>
          </w:tcPr>
          <w:p w14:paraId="08B9AECB" w14:textId="77777777" w:rsidR="0059414D" w:rsidRPr="005B7FE6" w:rsidRDefault="0051453F" w:rsidP="005B7FE6">
            <w:pPr>
              <w:adjustRightInd w:val="0"/>
              <w:snapToGrid w:val="0"/>
              <w:jc w:val="center"/>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180d</w:t>
            </w:r>
          </w:p>
        </w:tc>
      </w:tr>
      <w:tr w:rsidR="0059414D" w14:paraId="0925D069" w14:textId="77777777">
        <w:trPr>
          <w:jc w:val="center"/>
        </w:trPr>
        <w:tc>
          <w:tcPr>
            <w:tcW w:w="2130" w:type="dxa"/>
            <w:vAlign w:val="center"/>
          </w:tcPr>
          <w:p w14:paraId="23EC429C"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1</w:t>
            </w:r>
          </w:p>
        </w:tc>
        <w:tc>
          <w:tcPr>
            <w:tcW w:w="2130" w:type="dxa"/>
            <w:vAlign w:val="center"/>
          </w:tcPr>
          <w:p w14:paraId="39C42AFF"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3.46</w:t>
            </w:r>
          </w:p>
        </w:tc>
        <w:tc>
          <w:tcPr>
            <w:tcW w:w="2131" w:type="dxa"/>
            <w:vAlign w:val="center"/>
          </w:tcPr>
          <w:p w14:paraId="35B247B0"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16.72</w:t>
            </w:r>
          </w:p>
        </w:tc>
        <w:tc>
          <w:tcPr>
            <w:tcW w:w="2131" w:type="dxa"/>
            <w:vAlign w:val="center"/>
          </w:tcPr>
          <w:p w14:paraId="1374F69E"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100.45</w:t>
            </w:r>
          </w:p>
        </w:tc>
      </w:tr>
      <w:tr w:rsidR="0059414D" w14:paraId="5739123A" w14:textId="77777777">
        <w:trPr>
          <w:jc w:val="center"/>
        </w:trPr>
        <w:tc>
          <w:tcPr>
            <w:tcW w:w="2130" w:type="dxa"/>
            <w:vAlign w:val="center"/>
          </w:tcPr>
          <w:p w14:paraId="0AB90ACA"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2</w:t>
            </w:r>
          </w:p>
        </w:tc>
        <w:tc>
          <w:tcPr>
            <w:tcW w:w="2130" w:type="dxa"/>
            <w:vAlign w:val="center"/>
          </w:tcPr>
          <w:p w14:paraId="77DF9529"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2.56</w:t>
            </w:r>
          </w:p>
        </w:tc>
        <w:tc>
          <w:tcPr>
            <w:tcW w:w="2131" w:type="dxa"/>
            <w:vAlign w:val="center"/>
          </w:tcPr>
          <w:p w14:paraId="576A456C"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14.68</w:t>
            </w:r>
          </w:p>
        </w:tc>
        <w:tc>
          <w:tcPr>
            <w:tcW w:w="2131" w:type="dxa"/>
            <w:vAlign w:val="center"/>
          </w:tcPr>
          <w:p w14:paraId="22F62012"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120.32</w:t>
            </w:r>
          </w:p>
        </w:tc>
      </w:tr>
      <w:tr w:rsidR="0059414D" w14:paraId="31661075" w14:textId="77777777">
        <w:trPr>
          <w:jc w:val="center"/>
        </w:trPr>
        <w:tc>
          <w:tcPr>
            <w:tcW w:w="2130" w:type="dxa"/>
            <w:vAlign w:val="center"/>
          </w:tcPr>
          <w:p w14:paraId="437D240C"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3</w:t>
            </w:r>
          </w:p>
        </w:tc>
        <w:tc>
          <w:tcPr>
            <w:tcW w:w="2130" w:type="dxa"/>
            <w:vAlign w:val="center"/>
          </w:tcPr>
          <w:p w14:paraId="32DCA632"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6.24</w:t>
            </w:r>
          </w:p>
        </w:tc>
        <w:tc>
          <w:tcPr>
            <w:tcW w:w="2131" w:type="dxa"/>
            <w:vAlign w:val="center"/>
          </w:tcPr>
          <w:p w14:paraId="55E08ABA"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16.87</w:t>
            </w:r>
          </w:p>
        </w:tc>
        <w:tc>
          <w:tcPr>
            <w:tcW w:w="2131" w:type="dxa"/>
            <w:vAlign w:val="center"/>
          </w:tcPr>
          <w:p w14:paraId="2236F51D"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138.23</w:t>
            </w:r>
          </w:p>
        </w:tc>
      </w:tr>
      <w:tr w:rsidR="0059414D" w14:paraId="27CE3A8E" w14:textId="77777777">
        <w:trPr>
          <w:jc w:val="center"/>
        </w:trPr>
        <w:tc>
          <w:tcPr>
            <w:tcW w:w="2130" w:type="dxa"/>
            <w:vAlign w:val="center"/>
          </w:tcPr>
          <w:p w14:paraId="339237D0"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4</w:t>
            </w:r>
          </w:p>
        </w:tc>
        <w:tc>
          <w:tcPr>
            <w:tcW w:w="2130" w:type="dxa"/>
            <w:vAlign w:val="center"/>
          </w:tcPr>
          <w:p w14:paraId="0B740234"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3.56</w:t>
            </w:r>
          </w:p>
        </w:tc>
        <w:tc>
          <w:tcPr>
            <w:tcW w:w="2131" w:type="dxa"/>
            <w:vAlign w:val="center"/>
          </w:tcPr>
          <w:p w14:paraId="7C853DFC"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14.79</w:t>
            </w:r>
          </w:p>
        </w:tc>
        <w:tc>
          <w:tcPr>
            <w:tcW w:w="2131" w:type="dxa"/>
            <w:vAlign w:val="center"/>
          </w:tcPr>
          <w:p w14:paraId="1EA7D620"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135.66</w:t>
            </w:r>
          </w:p>
        </w:tc>
      </w:tr>
      <w:tr w:rsidR="0059414D" w14:paraId="3040BB42" w14:textId="77777777">
        <w:trPr>
          <w:jc w:val="center"/>
        </w:trPr>
        <w:tc>
          <w:tcPr>
            <w:tcW w:w="2130" w:type="dxa"/>
            <w:vAlign w:val="center"/>
          </w:tcPr>
          <w:p w14:paraId="2DA92484"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5</w:t>
            </w:r>
          </w:p>
        </w:tc>
        <w:tc>
          <w:tcPr>
            <w:tcW w:w="2130" w:type="dxa"/>
            <w:vAlign w:val="center"/>
          </w:tcPr>
          <w:p w14:paraId="4CEAA801"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3.13</w:t>
            </w:r>
          </w:p>
        </w:tc>
        <w:tc>
          <w:tcPr>
            <w:tcW w:w="2131" w:type="dxa"/>
            <w:vAlign w:val="center"/>
          </w:tcPr>
          <w:p w14:paraId="613C1636"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15.23</w:t>
            </w:r>
          </w:p>
        </w:tc>
        <w:tc>
          <w:tcPr>
            <w:tcW w:w="2131" w:type="dxa"/>
            <w:vAlign w:val="center"/>
          </w:tcPr>
          <w:p w14:paraId="592D0C61"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148.34</w:t>
            </w:r>
          </w:p>
        </w:tc>
      </w:tr>
      <w:tr w:rsidR="0059414D" w14:paraId="1CD841CC" w14:textId="77777777">
        <w:trPr>
          <w:jc w:val="center"/>
        </w:trPr>
        <w:tc>
          <w:tcPr>
            <w:tcW w:w="2130" w:type="dxa"/>
            <w:vAlign w:val="center"/>
          </w:tcPr>
          <w:p w14:paraId="3E5C9A89"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6</w:t>
            </w:r>
          </w:p>
        </w:tc>
        <w:tc>
          <w:tcPr>
            <w:tcW w:w="2130" w:type="dxa"/>
            <w:vAlign w:val="center"/>
          </w:tcPr>
          <w:p w14:paraId="01A13F28"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宋体" w:eastAsia="宋体" w:hAnsi="宋体" w:cs="宋体" w:hint="eastAsia"/>
                <w:color w:val="000000"/>
                <w:kern w:val="0"/>
                <w:szCs w:val="21"/>
                <w:lang w:bidi="ar"/>
              </w:rPr>
              <w:t>2.99</w:t>
            </w:r>
          </w:p>
        </w:tc>
        <w:tc>
          <w:tcPr>
            <w:tcW w:w="2131" w:type="dxa"/>
            <w:vAlign w:val="center"/>
          </w:tcPr>
          <w:p w14:paraId="22009CA7"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13.22</w:t>
            </w:r>
          </w:p>
        </w:tc>
        <w:tc>
          <w:tcPr>
            <w:tcW w:w="2131" w:type="dxa"/>
            <w:vAlign w:val="center"/>
          </w:tcPr>
          <w:p w14:paraId="0C867236" w14:textId="77777777" w:rsidR="0059414D" w:rsidRPr="005B7FE6" w:rsidRDefault="0051453F" w:rsidP="005B7FE6">
            <w:pPr>
              <w:widowControl/>
              <w:adjustRightInd w:val="0"/>
              <w:snapToGrid w:val="0"/>
              <w:jc w:val="center"/>
              <w:textAlignment w:val="bottom"/>
              <w:rPr>
                <w:rFonts w:ascii="Times New Roman" w:hAnsi="Times New Roman" w:cs="Times New Roman"/>
                <w:kern w:val="0"/>
                <w:szCs w:val="21"/>
              </w:rPr>
            </w:pPr>
            <w:r w:rsidRPr="005B7FE6">
              <w:rPr>
                <w:rFonts w:ascii="Times New Roman" w:hAnsi="Times New Roman" w:cs="Times New Roman" w:hint="eastAsia"/>
                <w:kern w:val="0"/>
                <w:szCs w:val="21"/>
              </w:rPr>
              <w:t>123.45</w:t>
            </w:r>
          </w:p>
        </w:tc>
      </w:tr>
      <w:tr w:rsidR="0059414D" w14:paraId="768808DD" w14:textId="77777777">
        <w:trPr>
          <w:trHeight w:val="292"/>
          <w:jc w:val="center"/>
        </w:trPr>
        <w:tc>
          <w:tcPr>
            <w:tcW w:w="2130" w:type="dxa"/>
            <w:vAlign w:val="center"/>
          </w:tcPr>
          <w:p w14:paraId="2F60E579"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7</w:t>
            </w:r>
          </w:p>
        </w:tc>
        <w:tc>
          <w:tcPr>
            <w:tcW w:w="2130" w:type="dxa"/>
            <w:vAlign w:val="center"/>
          </w:tcPr>
          <w:p w14:paraId="33501130"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3.56</w:t>
            </w:r>
          </w:p>
        </w:tc>
        <w:tc>
          <w:tcPr>
            <w:tcW w:w="2131" w:type="dxa"/>
            <w:vAlign w:val="center"/>
          </w:tcPr>
          <w:p w14:paraId="21B01F71"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14.67</w:t>
            </w:r>
          </w:p>
        </w:tc>
        <w:tc>
          <w:tcPr>
            <w:tcW w:w="2131" w:type="dxa"/>
            <w:vAlign w:val="center"/>
          </w:tcPr>
          <w:p w14:paraId="7CB2E855"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128.65</w:t>
            </w:r>
          </w:p>
        </w:tc>
      </w:tr>
      <w:tr w:rsidR="0059414D" w14:paraId="1513041D" w14:textId="77777777">
        <w:trPr>
          <w:jc w:val="center"/>
        </w:trPr>
        <w:tc>
          <w:tcPr>
            <w:tcW w:w="2130" w:type="dxa"/>
            <w:vAlign w:val="center"/>
          </w:tcPr>
          <w:p w14:paraId="5BC8F1CE"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8</w:t>
            </w:r>
          </w:p>
        </w:tc>
        <w:tc>
          <w:tcPr>
            <w:tcW w:w="2130" w:type="dxa"/>
            <w:vAlign w:val="center"/>
          </w:tcPr>
          <w:p w14:paraId="46F15EDA"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6.89</w:t>
            </w:r>
          </w:p>
        </w:tc>
        <w:tc>
          <w:tcPr>
            <w:tcW w:w="2131" w:type="dxa"/>
            <w:vAlign w:val="center"/>
          </w:tcPr>
          <w:p w14:paraId="34D0A411"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17.43</w:t>
            </w:r>
          </w:p>
        </w:tc>
        <w:tc>
          <w:tcPr>
            <w:tcW w:w="2131" w:type="dxa"/>
            <w:vAlign w:val="center"/>
          </w:tcPr>
          <w:p w14:paraId="4332F5F8"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165.33</w:t>
            </w:r>
          </w:p>
        </w:tc>
      </w:tr>
      <w:tr w:rsidR="0059414D" w14:paraId="44A42A4C" w14:textId="77777777">
        <w:trPr>
          <w:jc w:val="center"/>
        </w:trPr>
        <w:tc>
          <w:tcPr>
            <w:tcW w:w="2130" w:type="dxa"/>
            <w:vAlign w:val="center"/>
          </w:tcPr>
          <w:p w14:paraId="159177EC"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9</w:t>
            </w:r>
          </w:p>
        </w:tc>
        <w:tc>
          <w:tcPr>
            <w:tcW w:w="2130" w:type="dxa"/>
            <w:vAlign w:val="center"/>
          </w:tcPr>
          <w:p w14:paraId="08B252BC"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7.45</w:t>
            </w:r>
          </w:p>
        </w:tc>
        <w:tc>
          <w:tcPr>
            <w:tcW w:w="2131" w:type="dxa"/>
            <w:vAlign w:val="center"/>
          </w:tcPr>
          <w:p w14:paraId="3C1C9A0A"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18.82</w:t>
            </w:r>
          </w:p>
        </w:tc>
        <w:tc>
          <w:tcPr>
            <w:tcW w:w="2131" w:type="dxa"/>
            <w:vAlign w:val="center"/>
          </w:tcPr>
          <w:p w14:paraId="304E3DC3"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178.34</w:t>
            </w:r>
          </w:p>
        </w:tc>
      </w:tr>
      <w:tr w:rsidR="0059414D" w14:paraId="26D25ACC" w14:textId="77777777">
        <w:trPr>
          <w:jc w:val="center"/>
        </w:trPr>
        <w:tc>
          <w:tcPr>
            <w:tcW w:w="2130" w:type="dxa"/>
            <w:vAlign w:val="center"/>
          </w:tcPr>
          <w:p w14:paraId="68F771E2"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10</w:t>
            </w:r>
          </w:p>
        </w:tc>
        <w:tc>
          <w:tcPr>
            <w:tcW w:w="2130" w:type="dxa"/>
            <w:vAlign w:val="center"/>
          </w:tcPr>
          <w:p w14:paraId="77D8E7DB"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7.55</w:t>
            </w:r>
          </w:p>
        </w:tc>
        <w:tc>
          <w:tcPr>
            <w:tcW w:w="2131" w:type="dxa"/>
            <w:vAlign w:val="center"/>
          </w:tcPr>
          <w:p w14:paraId="5743A6F5"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19.20</w:t>
            </w:r>
          </w:p>
        </w:tc>
        <w:tc>
          <w:tcPr>
            <w:tcW w:w="2131" w:type="dxa"/>
            <w:vAlign w:val="center"/>
          </w:tcPr>
          <w:p w14:paraId="5968DC25"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167.43</w:t>
            </w:r>
          </w:p>
        </w:tc>
      </w:tr>
      <w:tr w:rsidR="0059414D" w14:paraId="336D45C8" w14:textId="77777777">
        <w:trPr>
          <w:jc w:val="center"/>
        </w:trPr>
        <w:tc>
          <w:tcPr>
            <w:tcW w:w="2130" w:type="dxa"/>
            <w:vAlign w:val="center"/>
          </w:tcPr>
          <w:p w14:paraId="6EF21867"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11</w:t>
            </w:r>
          </w:p>
        </w:tc>
        <w:tc>
          <w:tcPr>
            <w:tcW w:w="2130" w:type="dxa"/>
            <w:vAlign w:val="center"/>
          </w:tcPr>
          <w:p w14:paraId="589F0E85"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3.54</w:t>
            </w:r>
          </w:p>
        </w:tc>
        <w:tc>
          <w:tcPr>
            <w:tcW w:w="2131" w:type="dxa"/>
            <w:vAlign w:val="center"/>
          </w:tcPr>
          <w:p w14:paraId="68FCDBC1"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15.23</w:t>
            </w:r>
          </w:p>
        </w:tc>
        <w:tc>
          <w:tcPr>
            <w:tcW w:w="2131" w:type="dxa"/>
            <w:vAlign w:val="center"/>
          </w:tcPr>
          <w:p w14:paraId="47877A57"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143.34</w:t>
            </w:r>
          </w:p>
        </w:tc>
      </w:tr>
      <w:tr w:rsidR="0059414D" w14:paraId="1CB99972" w14:textId="77777777">
        <w:trPr>
          <w:jc w:val="center"/>
        </w:trPr>
        <w:tc>
          <w:tcPr>
            <w:tcW w:w="2130" w:type="dxa"/>
            <w:vAlign w:val="center"/>
          </w:tcPr>
          <w:p w14:paraId="021ACBE6"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12</w:t>
            </w:r>
          </w:p>
        </w:tc>
        <w:tc>
          <w:tcPr>
            <w:tcW w:w="2130" w:type="dxa"/>
            <w:vAlign w:val="center"/>
          </w:tcPr>
          <w:p w14:paraId="590CD98C"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3.76</w:t>
            </w:r>
          </w:p>
        </w:tc>
        <w:tc>
          <w:tcPr>
            <w:tcW w:w="2131" w:type="dxa"/>
            <w:vAlign w:val="center"/>
          </w:tcPr>
          <w:p w14:paraId="5D02A308"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15.21</w:t>
            </w:r>
          </w:p>
        </w:tc>
        <w:tc>
          <w:tcPr>
            <w:tcW w:w="2131" w:type="dxa"/>
            <w:vAlign w:val="center"/>
          </w:tcPr>
          <w:p w14:paraId="49354C36" w14:textId="77777777" w:rsidR="0059414D" w:rsidRPr="005B7FE6" w:rsidRDefault="0051453F" w:rsidP="005B7FE6">
            <w:pPr>
              <w:widowControl/>
              <w:adjustRightInd w:val="0"/>
              <w:snapToGrid w:val="0"/>
              <w:jc w:val="center"/>
              <w:textAlignment w:val="bottom"/>
              <w:rPr>
                <w:rFonts w:ascii="宋体" w:eastAsia="宋体" w:hAnsi="宋体" w:cs="宋体"/>
                <w:color w:val="000000"/>
                <w:kern w:val="0"/>
                <w:szCs w:val="21"/>
                <w:lang w:bidi="ar"/>
              </w:rPr>
            </w:pPr>
            <w:r w:rsidRPr="005B7FE6">
              <w:rPr>
                <w:rFonts w:ascii="宋体" w:eastAsia="宋体" w:hAnsi="宋体" w:cs="宋体" w:hint="eastAsia"/>
                <w:color w:val="000000"/>
                <w:kern w:val="0"/>
                <w:szCs w:val="21"/>
                <w:lang w:bidi="ar"/>
              </w:rPr>
              <w:t>142.87</w:t>
            </w:r>
          </w:p>
        </w:tc>
      </w:tr>
    </w:tbl>
    <w:p w14:paraId="17407E7D"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20412D3F" w14:textId="77777777" w:rsidR="0059414D" w:rsidRDefault="0051453F" w:rsidP="00D35A93">
      <w:pPr>
        <w:autoSpaceDE w:val="0"/>
        <w:autoSpaceDN w:val="0"/>
        <w:adjustRightInd w:val="0"/>
        <w:snapToGrid w:val="0"/>
        <w:spacing w:line="300" w:lineRule="auto"/>
        <w:ind w:firstLineChars="200" w:firstLine="420"/>
        <w:rPr>
          <w:rFonts w:ascii="Times New Roman" w:eastAsia="宋体" w:hAnsi="Times New Roman" w:cs="Times New Roman"/>
          <w:kern w:val="0"/>
        </w:rPr>
      </w:pPr>
      <w:r>
        <w:rPr>
          <w:rFonts w:ascii="Times New Roman" w:eastAsia="宋体" w:hAnsi="Times New Roman" w:cs="Times New Roman" w:hint="eastAsia"/>
          <w:kern w:val="0"/>
        </w:rPr>
        <w:t>腐植酸（液体）产品粘度过大，将影响其流动性，导致肥料生产时影响生产效率，</w:t>
      </w:r>
      <w:r>
        <w:rPr>
          <w:rFonts w:ascii="Times New Roman" w:eastAsia="宋体" w:hAnsi="Times New Roman" w:cs="Times New Roman" w:hint="eastAsia"/>
          <w:kern w:val="0"/>
        </w:rPr>
        <w:t>20</w:t>
      </w:r>
      <w:r>
        <w:rPr>
          <w:rFonts w:ascii="Times New Roman" w:eastAsia="宋体" w:hAnsi="Times New Roman" w:cs="Times New Roman" w:hint="eastAsia"/>
          <w:kern w:val="0"/>
        </w:rPr>
        <w:t>℃测定产品的粘度，其粘度</w:t>
      </w:r>
      <w:r w:rsidR="00D8663F">
        <w:rPr>
          <w:rFonts w:ascii="Times New Roman" w:eastAsia="宋体" w:hAnsi="Times New Roman" w:cs="Times New Roman" w:hint="eastAsia"/>
          <w:kern w:val="0"/>
        </w:rPr>
        <w:t>均</w:t>
      </w:r>
      <w:r>
        <w:rPr>
          <w:rFonts w:ascii="Times New Roman" w:eastAsia="宋体" w:hAnsi="Times New Roman" w:cs="Times New Roman" w:hint="eastAsia"/>
          <w:kern w:val="0"/>
        </w:rPr>
        <w:t>在</w:t>
      </w:r>
      <w:r>
        <w:rPr>
          <w:rFonts w:ascii="Times New Roman" w:eastAsia="宋体" w:hAnsi="Times New Roman" w:cs="Times New Roman" w:hint="eastAsia"/>
          <w:kern w:val="0"/>
        </w:rPr>
        <w:t>10mPa.s</w:t>
      </w:r>
      <w:r>
        <w:rPr>
          <w:rFonts w:ascii="Times New Roman" w:eastAsia="宋体" w:hAnsi="Times New Roman" w:cs="Times New Roman" w:hint="eastAsia"/>
          <w:kern w:val="0"/>
        </w:rPr>
        <w:t>以下</w:t>
      </w:r>
      <w:r w:rsidR="00D8663F">
        <w:rPr>
          <w:rFonts w:ascii="Times New Roman" w:eastAsia="宋体" w:hAnsi="Times New Roman" w:cs="Times New Roman" w:hint="eastAsia"/>
          <w:kern w:val="0"/>
        </w:rPr>
        <w:t>。随贮存时间的延长，腐植酸产品粘度会有所提高</w:t>
      </w:r>
      <w:r>
        <w:rPr>
          <w:rFonts w:ascii="Times New Roman" w:eastAsia="宋体" w:hAnsi="Times New Roman" w:cs="Times New Roman" w:hint="eastAsia"/>
          <w:kern w:val="0"/>
        </w:rPr>
        <w:t>，</w:t>
      </w:r>
      <w:r w:rsidR="00D8663F">
        <w:rPr>
          <w:rFonts w:ascii="Times New Roman" w:eastAsia="宋体" w:hAnsi="Times New Roman" w:cs="Times New Roman" w:hint="eastAsia"/>
          <w:kern w:val="0"/>
        </w:rPr>
        <w:t>静置</w:t>
      </w:r>
      <w:r w:rsidR="00D8663F">
        <w:rPr>
          <w:rFonts w:ascii="Times New Roman" w:eastAsia="宋体" w:hAnsi="Times New Roman" w:cs="Times New Roman" w:hint="eastAsia"/>
          <w:kern w:val="0"/>
        </w:rPr>
        <w:t>180</w:t>
      </w:r>
      <w:r w:rsidR="00D8663F">
        <w:rPr>
          <w:rFonts w:ascii="Times New Roman" w:eastAsia="宋体" w:hAnsi="Times New Roman" w:cs="Times New Roman" w:hint="eastAsia"/>
          <w:kern w:val="0"/>
        </w:rPr>
        <w:t>天后，</w:t>
      </w:r>
      <w:r w:rsidR="00D35A93">
        <w:rPr>
          <w:rFonts w:ascii="Times New Roman" w:eastAsia="宋体" w:hAnsi="Times New Roman" w:cs="Times New Roman" w:hint="eastAsia"/>
          <w:kern w:val="0"/>
        </w:rPr>
        <w:t>粘度从</w:t>
      </w:r>
      <w:r w:rsidR="00D35A93">
        <w:rPr>
          <w:rFonts w:ascii="Times New Roman" w:eastAsia="宋体" w:hAnsi="Times New Roman" w:cs="Times New Roman" w:hint="eastAsia"/>
          <w:kern w:val="0"/>
        </w:rPr>
        <w:t>100.45-178.34mPa.s</w:t>
      </w:r>
      <w:r w:rsidR="00D35A93">
        <w:rPr>
          <w:rFonts w:ascii="Times New Roman" w:eastAsia="宋体" w:hAnsi="Times New Roman" w:cs="Times New Roman" w:hint="eastAsia"/>
          <w:kern w:val="0"/>
        </w:rPr>
        <w:t>。</w:t>
      </w:r>
      <w:r w:rsidR="00325DF9">
        <w:rPr>
          <w:rFonts w:ascii="Times New Roman" w:eastAsia="宋体" w:hAnsi="Times New Roman" w:cs="Times New Roman" w:hint="eastAsia"/>
          <w:kern w:val="0"/>
        </w:rPr>
        <w:t>粘度可由供需双方协商确定。</w:t>
      </w:r>
    </w:p>
    <w:p w14:paraId="7F718753" w14:textId="77777777" w:rsidR="0059414D" w:rsidRDefault="0051453F">
      <w:pPr>
        <w:numPr>
          <w:ilvl w:val="0"/>
          <w:numId w:val="4"/>
        </w:numPr>
        <w:adjustRightInd w:val="0"/>
        <w:snapToGrid w:val="0"/>
        <w:spacing w:line="300" w:lineRule="auto"/>
        <w:rPr>
          <w:rFonts w:ascii="Times New Roman" w:hAnsi="Times New Roman" w:cs="Times New Roman"/>
        </w:rPr>
      </w:pPr>
      <w:r>
        <w:rPr>
          <w:rFonts w:ascii="Times New Roman" w:hAnsi="Times New Roman" w:cs="Times New Roman"/>
        </w:rPr>
        <w:t>腐植酸</w:t>
      </w:r>
      <w:r>
        <w:rPr>
          <w:rFonts w:ascii="Times New Roman" w:hAnsi="Times New Roman" w:cs="Times New Roman" w:hint="eastAsia"/>
        </w:rPr>
        <w:t>的定性鉴定</w:t>
      </w:r>
    </w:p>
    <w:p w14:paraId="41617942" w14:textId="77777777" w:rsidR="0059414D" w:rsidRDefault="0051453F">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r>
        <w:rPr>
          <w:rFonts w:ascii="Times New Roman" w:eastAsia="宋体" w:hAnsi="Times New Roman" w:cs="Times New Roman" w:hint="eastAsia"/>
          <w:kern w:val="0"/>
        </w:rPr>
        <w:t>采用傅里叶红外光谱对腐植酸进行定性鉴定。腐植酸类物质在不同波数下有共性的波普特征，通过图谱比价，可以产品是否属于腐植酸产品。具体方法为将腐植酸（</w:t>
      </w:r>
      <w:r>
        <w:rPr>
          <w:rFonts w:ascii="Times New Roman" w:eastAsia="宋体" w:hAnsi="Times New Roman" w:cs="Times New Roman" w:hint="eastAsia"/>
          <w:kern w:val="0"/>
        </w:rPr>
        <w:t>2.0 mg</w:t>
      </w:r>
      <w:r>
        <w:rPr>
          <w:rFonts w:ascii="Times New Roman" w:eastAsia="宋体" w:hAnsi="Times New Roman" w:cs="Times New Roman" w:hint="eastAsia"/>
          <w:kern w:val="0"/>
        </w:rPr>
        <w:t>样品与</w:t>
      </w:r>
      <w:r>
        <w:rPr>
          <w:rFonts w:ascii="Times New Roman" w:eastAsia="宋体" w:hAnsi="Times New Roman" w:cs="Times New Roman" w:hint="eastAsia"/>
          <w:kern w:val="0"/>
        </w:rPr>
        <w:t>200 mg KBr</w:t>
      </w:r>
      <w:r>
        <w:rPr>
          <w:rFonts w:ascii="Times New Roman" w:eastAsia="宋体" w:hAnsi="Times New Roman" w:cs="Times New Roman" w:hint="eastAsia"/>
          <w:kern w:val="0"/>
        </w:rPr>
        <w:t>混合）用玛瑙研钵研磨均匀后，用压片机压制。使用</w:t>
      </w:r>
      <w:r>
        <w:rPr>
          <w:rFonts w:ascii="Times New Roman" w:eastAsia="宋体" w:hAnsi="Times New Roman" w:cs="Times New Roman" w:hint="eastAsia"/>
          <w:kern w:val="0"/>
        </w:rPr>
        <w:t xml:space="preserve">Bruker VERTEX 70 </w:t>
      </w:r>
      <w:r>
        <w:rPr>
          <w:rFonts w:ascii="Times New Roman" w:eastAsia="宋体" w:hAnsi="Times New Roman" w:cs="Times New Roman" w:hint="eastAsia"/>
          <w:kern w:val="0"/>
        </w:rPr>
        <w:t>傅里叶变换红外光谱仪进行红外光谱扫描。扫描范围是</w:t>
      </w:r>
      <w:r>
        <w:rPr>
          <w:rFonts w:ascii="Times New Roman" w:eastAsia="宋体" w:hAnsi="Times New Roman" w:cs="Times New Roman" w:hint="eastAsia"/>
          <w:kern w:val="0"/>
        </w:rPr>
        <w:t>4000-400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，分辨率为</w:t>
      </w:r>
      <w:r>
        <w:rPr>
          <w:rFonts w:ascii="Times New Roman" w:eastAsia="宋体" w:hAnsi="Times New Roman" w:cs="Times New Roman" w:hint="eastAsia"/>
          <w:kern w:val="0"/>
        </w:rPr>
        <w:t>4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，每个样品扫描</w:t>
      </w:r>
      <w:r>
        <w:rPr>
          <w:rFonts w:ascii="Times New Roman" w:eastAsia="宋体" w:hAnsi="Times New Roman" w:cs="Times New Roman" w:hint="eastAsia"/>
          <w:kern w:val="0"/>
        </w:rPr>
        <w:t>64</w:t>
      </w:r>
      <w:r>
        <w:rPr>
          <w:rFonts w:ascii="Times New Roman" w:eastAsia="宋体" w:hAnsi="Times New Roman" w:cs="Times New Roman" w:hint="eastAsia"/>
          <w:kern w:val="0"/>
        </w:rPr>
        <w:t>次。</w:t>
      </w:r>
    </w:p>
    <w:p w14:paraId="5375A76D" w14:textId="77777777" w:rsidR="0059414D" w:rsidRDefault="0051453F">
      <w:pPr>
        <w:adjustRightInd w:val="0"/>
        <w:snapToGrid w:val="0"/>
        <w:spacing w:line="300" w:lineRule="auto"/>
        <w:ind w:firstLine="435"/>
        <w:jc w:val="center"/>
        <w:rPr>
          <w:rFonts w:ascii="Times New Roman"/>
        </w:rPr>
      </w:pPr>
      <w:r>
        <w:rPr>
          <w:rFonts w:ascii="Times New Roman" w:hint="eastAsia"/>
        </w:rPr>
        <w:t>表</w:t>
      </w:r>
      <w:r>
        <w:rPr>
          <w:rFonts w:ascii="Times New Roman" w:hint="eastAsia"/>
        </w:rPr>
        <w:t xml:space="preserve"> 18</w:t>
      </w:r>
      <w:r>
        <w:rPr>
          <w:rFonts w:ascii="Times New Roman" w:hint="eastAsia"/>
        </w:rPr>
        <w:t>腐植酸的主要红外光谱吸收谱带</w:t>
      </w:r>
    </w:p>
    <w:tbl>
      <w:tblPr>
        <w:tblW w:w="5000" w:type="pct"/>
        <w:jc w:val="center"/>
        <w:tblBorders>
          <w:top w:val="single" w:sz="4" w:space="0" w:color="auto"/>
          <w:bottom w:val="single" w:sz="4" w:space="0" w:color="auto"/>
        </w:tblBorders>
        <w:tblLook w:val="04A0" w:firstRow="1" w:lastRow="0" w:firstColumn="1" w:lastColumn="0" w:noHBand="0" w:noVBand="1"/>
      </w:tblPr>
      <w:tblGrid>
        <w:gridCol w:w="2033"/>
        <w:gridCol w:w="6489"/>
      </w:tblGrid>
      <w:tr w:rsidR="0059414D" w14:paraId="2EFA42B7" w14:textId="77777777">
        <w:trPr>
          <w:trHeight w:val="278"/>
          <w:jc w:val="center"/>
        </w:trPr>
        <w:tc>
          <w:tcPr>
            <w:tcW w:w="1193" w:type="pct"/>
            <w:tcBorders>
              <w:top w:val="single" w:sz="12" w:space="0" w:color="auto"/>
              <w:left w:val="nil"/>
              <w:bottom w:val="single" w:sz="4" w:space="0" w:color="auto"/>
              <w:right w:val="nil"/>
            </w:tcBorders>
            <w:shd w:val="clear" w:color="auto" w:fill="auto"/>
          </w:tcPr>
          <w:p w14:paraId="63A4E141"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谱带范围</w:t>
            </w:r>
          </w:p>
          <w:p w14:paraId="47626097"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Frequency</w:t>
            </w:r>
            <w:r w:rsidRPr="00E616C0">
              <w:rPr>
                <w:rFonts w:ascii="Times New Roman" w:eastAsia="宋体" w:hAnsi="Times New Roman" w:hint="eastAsia"/>
                <w:sz w:val="18"/>
                <w:szCs w:val="18"/>
                <w:shd w:val="clear" w:color="auto" w:fill="FFFFFF"/>
              </w:rPr>
              <w:t xml:space="preserve"> </w:t>
            </w:r>
            <w:r w:rsidRPr="00E616C0">
              <w:rPr>
                <w:rFonts w:ascii="Times New Roman" w:eastAsia="宋体" w:hAnsi="Times New Roman"/>
                <w:sz w:val="18"/>
                <w:szCs w:val="18"/>
                <w:shd w:val="clear" w:color="auto" w:fill="FFFFFF"/>
              </w:rPr>
              <w:t>(cm</w:t>
            </w:r>
            <w:r w:rsidRPr="00E616C0">
              <w:rPr>
                <w:rFonts w:ascii="Times New Roman" w:eastAsia="宋体" w:hAnsi="Times New Roman"/>
                <w:sz w:val="18"/>
                <w:szCs w:val="18"/>
                <w:shd w:val="clear" w:color="auto" w:fill="FFFFFF"/>
                <w:vertAlign w:val="superscript"/>
              </w:rPr>
              <w:t>-1</w:t>
            </w:r>
            <w:r w:rsidRPr="00E616C0">
              <w:rPr>
                <w:rFonts w:ascii="Times New Roman" w:eastAsia="宋体" w:hAnsi="Times New Roman" w:hint="eastAsia"/>
                <w:sz w:val="18"/>
                <w:szCs w:val="18"/>
                <w:shd w:val="clear" w:color="auto" w:fill="FFFFFF"/>
              </w:rPr>
              <w:t>)</w:t>
            </w:r>
          </w:p>
        </w:tc>
        <w:tc>
          <w:tcPr>
            <w:tcW w:w="3807" w:type="pct"/>
            <w:tcBorders>
              <w:top w:val="single" w:sz="12" w:space="0" w:color="auto"/>
              <w:left w:val="nil"/>
              <w:bottom w:val="single" w:sz="4" w:space="0" w:color="auto"/>
              <w:right w:val="nil"/>
            </w:tcBorders>
            <w:shd w:val="clear" w:color="auto" w:fill="auto"/>
          </w:tcPr>
          <w:p w14:paraId="242062DD"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归属</w:t>
            </w:r>
          </w:p>
          <w:p w14:paraId="097D823E"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Assignment</w:t>
            </w:r>
          </w:p>
        </w:tc>
      </w:tr>
      <w:tr w:rsidR="0059414D" w14:paraId="3C712099" w14:textId="77777777">
        <w:trPr>
          <w:jc w:val="center"/>
        </w:trPr>
        <w:tc>
          <w:tcPr>
            <w:tcW w:w="1193" w:type="pct"/>
            <w:tcBorders>
              <w:top w:val="single" w:sz="4" w:space="0" w:color="auto"/>
              <w:left w:val="nil"/>
              <w:bottom w:val="nil"/>
              <w:right w:val="nil"/>
            </w:tcBorders>
            <w:shd w:val="clear" w:color="auto" w:fill="auto"/>
          </w:tcPr>
          <w:p w14:paraId="51DE372D"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3450–3300</w:t>
            </w:r>
          </w:p>
        </w:tc>
        <w:tc>
          <w:tcPr>
            <w:tcW w:w="3807" w:type="pct"/>
            <w:tcBorders>
              <w:top w:val="single" w:sz="4" w:space="0" w:color="auto"/>
              <w:left w:val="nil"/>
              <w:bottom w:val="nil"/>
              <w:right w:val="nil"/>
            </w:tcBorders>
            <w:shd w:val="clear" w:color="auto" w:fill="auto"/>
          </w:tcPr>
          <w:p w14:paraId="54F7AB3D"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O–H</w:t>
            </w:r>
            <w:r w:rsidRPr="00E616C0">
              <w:rPr>
                <w:rFonts w:ascii="Times New Roman" w:eastAsia="宋体" w:hAnsi="Times New Roman"/>
                <w:sz w:val="18"/>
                <w:szCs w:val="18"/>
                <w:shd w:val="clear" w:color="auto" w:fill="FFFFFF"/>
              </w:rPr>
              <w:t>伸展振动</w:t>
            </w:r>
            <w:r w:rsidRPr="00E616C0">
              <w:rPr>
                <w:rFonts w:ascii="Times New Roman" w:eastAsia="宋体" w:hAnsi="Times New Roman" w:hint="eastAsia"/>
                <w:sz w:val="18"/>
                <w:szCs w:val="18"/>
                <w:shd w:val="clear" w:color="auto" w:fill="FFFFFF"/>
              </w:rPr>
              <w:t>，</w:t>
            </w:r>
            <w:r w:rsidRPr="00E616C0">
              <w:rPr>
                <w:rFonts w:ascii="Times New Roman" w:eastAsia="宋体" w:hAnsi="Times New Roman"/>
                <w:sz w:val="18"/>
                <w:szCs w:val="18"/>
                <w:shd w:val="clear" w:color="auto" w:fill="FFFFFF"/>
              </w:rPr>
              <w:t>N–H</w:t>
            </w:r>
            <w:r w:rsidRPr="00E616C0">
              <w:rPr>
                <w:rFonts w:ascii="Times New Roman" w:eastAsia="宋体" w:hAnsi="Times New Roman"/>
                <w:sz w:val="18"/>
                <w:szCs w:val="18"/>
                <w:shd w:val="clear" w:color="auto" w:fill="FFFFFF"/>
              </w:rPr>
              <w:t>伸展振动</w:t>
            </w:r>
          </w:p>
        </w:tc>
      </w:tr>
      <w:tr w:rsidR="0059414D" w14:paraId="6859D655" w14:textId="77777777">
        <w:trPr>
          <w:jc w:val="center"/>
        </w:trPr>
        <w:tc>
          <w:tcPr>
            <w:tcW w:w="1193" w:type="pct"/>
            <w:tcBorders>
              <w:top w:val="nil"/>
              <w:left w:val="nil"/>
              <w:bottom w:val="nil"/>
              <w:right w:val="nil"/>
            </w:tcBorders>
            <w:shd w:val="clear" w:color="auto" w:fill="auto"/>
          </w:tcPr>
          <w:p w14:paraId="5AFC5476"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2940–2900</w:t>
            </w:r>
          </w:p>
        </w:tc>
        <w:tc>
          <w:tcPr>
            <w:tcW w:w="3807" w:type="pct"/>
            <w:tcBorders>
              <w:top w:val="nil"/>
              <w:left w:val="nil"/>
              <w:bottom w:val="nil"/>
              <w:right w:val="nil"/>
            </w:tcBorders>
            <w:shd w:val="clear" w:color="auto" w:fill="auto"/>
          </w:tcPr>
          <w:p w14:paraId="1D412CA1"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脂肪</w:t>
            </w:r>
            <w:r w:rsidRPr="00E616C0">
              <w:rPr>
                <w:rFonts w:ascii="Times New Roman" w:eastAsia="宋体" w:hAnsi="Times New Roman"/>
                <w:sz w:val="18"/>
                <w:szCs w:val="18"/>
                <w:shd w:val="clear" w:color="auto" w:fill="FFFFFF"/>
              </w:rPr>
              <w:t>C–H</w:t>
            </w:r>
            <w:r w:rsidRPr="00E616C0">
              <w:rPr>
                <w:rFonts w:ascii="Times New Roman" w:eastAsia="宋体" w:hAnsi="Times New Roman"/>
                <w:sz w:val="18"/>
                <w:szCs w:val="18"/>
                <w:shd w:val="clear" w:color="auto" w:fill="FFFFFF"/>
              </w:rPr>
              <w:t>伸展振动</w:t>
            </w:r>
          </w:p>
        </w:tc>
      </w:tr>
      <w:tr w:rsidR="0059414D" w14:paraId="1F52E4A9" w14:textId="77777777">
        <w:trPr>
          <w:jc w:val="center"/>
        </w:trPr>
        <w:tc>
          <w:tcPr>
            <w:tcW w:w="1193" w:type="pct"/>
            <w:tcBorders>
              <w:top w:val="nil"/>
              <w:left w:val="nil"/>
              <w:bottom w:val="nil"/>
              <w:right w:val="nil"/>
            </w:tcBorders>
            <w:shd w:val="clear" w:color="auto" w:fill="auto"/>
          </w:tcPr>
          <w:p w14:paraId="59805D69"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1725–1720</w:t>
            </w:r>
          </w:p>
        </w:tc>
        <w:tc>
          <w:tcPr>
            <w:tcW w:w="3807" w:type="pct"/>
            <w:tcBorders>
              <w:top w:val="nil"/>
              <w:left w:val="nil"/>
              <w:bottom w:val="nil"/>
              <w:right w:val="nil"/>
            </w:tcBorders>
            <w:shd w:val="clear" w:color="auto" w:fill="auto"/>
          </w:tcPr>
          <w:p w14:paraId="2C8C5984"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羧基中</w:t>
            </w:r>
            <w:r w:rsidRPr="00E616C0">
              <w:rPr>
                <w:rFonts w:ascii="Times New Roman" w:eastAsia="宋体" w:hAnsi="Times New Roman"/>
                <w:sz w:val="18"/>
                <w:szCs w:val="18"/>
                <w:shd w:val="clear" w:color="auto" w:fill="FFFFFF"/>
              </w:rPr>
              <w:t>C=O</w:t>
            </w:r>
            <w:r w:rsidRPr="00E616C0">
              <w:rPr>
                <w:rFonts w:ascii="Times New Roman" w:eastAsia="宋体" w:hAnsi="Times New Roman"/>
                <w:sz w:val="18"/>
                <w:szCs w:val="18"/>
                <w:shd w:val="clear" w:color="auto" w:fill="FFFFFF"/>
              </w:rPr>
              <w:t>和酮基</w:t>
            </w:r>
            <w:r w:rsidRPr="00E616C0">
              <w:rPr>
                <w:rFonts w:ascii="Times New Roman" w:eastAsia="宋体" w:hAnsi="Times New Roman"/>
                <w:sz w:val="18"/>
                <w:szCs w:val="18"/>
                <w:shd w:val="clear" w:color="auto" w:fill="FFFFFF"/>
              </w:rPr>
              <w:t>C=O</w:t>
            </w:r>
            <w:r w:rsidRPr="00E616C0">
              <w:rPr>
                <w:rFonts w:ascii="Times New Roman" w:eastAsia="宋体" w:hAnsi="Times New Roman"/>
                <w:sz w:val="18"/>
                <w:szCs w:val="18"/>
                <w:shd w:val="clear" w:color="auto" w:fill="FFFFFF"/>
              </w:rPr>
              <w:t>伸展振动</w:t>
            </w:r>
          </w:p>
        </w:tc>
      </w:tr>
      <w:tr w:rsidR="0059414D" w14:paraId="12C7D480" w14:textId="77777777">
        <w:trPr>
          <w:jc w:val="center"/>
        </w:trPr>
        <w:tc>
          <w:tcPr>
            <w:tcW w:w="1193" w:type="pct"/>
            <w:tcBorders>
              <w:top w:val="nil"/>
              <w:left w:val="nil"/>
              <w:bottom w:val="nil"/>
              <w:right w:val="nil"/>
            </w:tcBorders>
            <w:shd w:val="clear" w:color="auto" w:fill="auto"/>
          </w:tcPr>
          <w:p w14:paraId="4A1AFAB7"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1660–1630</w:t>
            </w:r>
          </w:p>
        </w:tc>
        <w:tc>
          <w:tcPr>
            <w:tcW w:w="3807" w:type="pct"/>
            <w:tcBorders>
              <w:top w:val="nil"/>
              <w:left w:val="nil"/>
              <w:bottom w:val="nil"/>
              <w:right w:val="nil"/>
            </w:tcBorders>
            <w:shd w:val="clear" w:color="auto" w:fill="auto"/>
          </w:tcPr>
          <w:p w14:paraId="081117B9"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酰胺基</w:t>
            </w:r>
            <w:r w:rsidRPr="00E616C0">
              <w:rPr>
                <w:rFonts w:ascii="Times New Roman" w:eastAsia="宋体" w:hAnsi="Times New Roman"/>
                <w:sz w:val="18"/>
                <w:szCs w:val="18"/>
                <w:shd w:val="clear" w:color="auto" w:fill="FFFFFF"/>
              </w:rPr>
              <w:t xml:space="preserve">C=O </w:t>
            </w:r>
            <w:r w:rsidRPr="00E616C0">
              <w:rPr>
                <w:rFonts w:ascii="Times New Roman" w:eastAsia="宋体" w:hAnsi="Times New Roman"/>
                <w:sz w:val="18"/>
                <w:szCs w:val="18"/>
                <w:shd w:val="clear" w:color="auto" w:fill="FFFFFF"/>
              </w:rPr>
              <w:t>伸展振动（酰胺</w:t>
            </w:r>
            <w:r w:rsidRPr="00E616C0">
              <w:rPr>
                <w:rFonts w:ascii="Times New Roman" w:eastAsia="宋体" w:hAnsi="Times New Roman"/>
                <w:sz w:val="18"/>
                <w:szCs w:val="18"/>
                <w:shd w:val="clear" w:color="auto" w:fill="FFFFFF"/>
              </w:rPr>
              <w:t>I</w:t>
            </w:r>
            <w:r w:rsidRPr="00E616C0">
              <w:rPr>
                <w:rFonts w:ascii="Times New Roman" w:eastAsia="宋体" w:hAnsi="Times New Roman"/>
                <w:sz w:val="18"/>
                <w:szCs w:val="18"/>
                <w:shd w:val="clear" w:color="auto" w:fill="FFFFFF"/>
              </w:rPr>
              <w:t>带），醌基</w:t>
            </w:r>
            <w:r w:rsidRPr="00E616C0">
              <w:rPr>
                <w:rFonts w:ascii="Times New Roman" w:eastAsia="宋体" w:hAnsi="Times New Roman"/>
                <w:sz w:val="18"/>
                <w:szCs w:val="18"/>
                <w:shd w:val="clear" w:color="auto" w:fill="FFFFFF"/>
              </w:rPr>
              <w:t>C=O</w:t>
            </w:r>
            <w:r w:rsidRPr="00E616C0">
              <w:rPr>
                <w:rFonts w:ascii="Times New Roman" w:eastAsia="宋体" w:hAnsi="Times New Roman"/>
                <w:sz w:val="18"/>
                <w:szCs w:val="18"/>
                <w:shd w:val="clear" w:color="auto" w:fill="FFFFFF"/>
              </w:rPr>
              <w:t>和</w:t>
            </w:r>
            <w:r w:rsidRPr="00E616C0">
              <w:rPr>
                <w:rFonts w:ascii="Times New Roman" w:eastAsia="宋体" w:hAnsi="Times New Roman"/>
                <w:sz w:val="18"/>
                <w:szCs w:val="18"/>
                <w:shd w:val="clear" w:color="auto" w:fill="FFFFFF"/>
              </w:rPr>
              <w:t>/</w:t>
            </w:r>
            <w:r w:rsidRPr="00E616C0">
              <w:rPr>
                <w:rFonts w:ascii="Times New Roman" w:eastAsia="宋体" w:hAnsi="Times New Roman"/>
                <w:sz w:val="18"/>
                <w:szCs w:val="18"/>
                <w:shd w:val="clear" w:color="auto" w:fill="FFFFFF"/>
              </w:rPr>
              <w:t>或酮基共轭</w:t>
            </w:r>
            <w:r w:rsidRPr="00E616C0">
              <w:rPr>
                <w:rFonts w:ascii="Times New Roman" w:eastAsia="宋体" w:hAnsi="Times New Roman"/>
                <w:sz w:val="18"/>
                <w:szCs w:val="18"/>
                <w:shd w:val="clear" w:color="auto" w:fill="FFFFFF"/>
              </w:rPr>
              <w:t>C=O</w:t>
            </w:r>
            <w:r w:rsidRPr="00E616C0">
              <w:rPr>
                <w:rFonts w:ascii="Times New Roman" w:eastAsia="宋体" w:hAnsi="Times New Roman"/>
                <w:sz w:val="18"/>
                <w:szCs w:val="18"/>
                <w:shd w:val="clear" w:color="auto" w:fill="FFFFFF"/>
              </w:rPr>
              <w:t>的氢键缔合伸展振动</w:t>
            </w:r>
          </w:p>
        </w:tc>
      </w:tr>
      <w:tr w:rsidR="0059414D" w14:paraId="454B6CB1" w14:textId="77777777">
        <w:trPr>
          <w:jc w:val="center"/>
        </w:trPr>
        <w:tc>
          <w:tcPr>
            <w:tcW w:w="1193" w:type="pct"/>
            <w:tcBorders>
              <w:top w:val="nil"/>
              <w:left w:val="nil"/>
              <w:bottom w:val="nil"/>
              <w:right w:val="nil"/>
            </w:tcBorders>
            <w:shd w:val="clear" w:color="auto" w:fill="auto"/>
          </w:tcPr>
          <w:p w14:paraId="172FE022"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1620–1600</w:t>
            </w:r>
          </w:p>
        </w:tc>
        <w:tc>
          <w:tcPr>
            <w:tcW w:w="3807" w:type="pct"/>
            <w:tcBorders>
              <w:top w:val="nil"/>
              <w:left w:val="nil"/>
              <w:bottom w:val="nil"/>
              <w:right w:val="nil"/>
            </w:tcBorders>
            <w:shd w:val="clear" w:color="auto" w:fill="auto"/>
          </w:tcPr>
          <w:p w14:paraId="22B64395"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芳香</w:t>
            </w:r>
            <w:r w:rsidRPr="00E616C0">
              <w:rPr>
                <w:rFonts w:ascii="Times New Roman" w:eastAsia="宋体" w:hAnsi="Times New Roman"/>
                <w:sz w:val="18"/>
                <w:szCs w:val="18"/>
                <w:shd w:val="clear" w:color="auto" w:fill="FFFFFF"/>
              </w:rPr>
              <w:t>C=C</w:t>
            </w:r>
            <w:r w:rsidRPr="00E616C0">
              <w:rPr>
                <w:rFonts w:ascii="Times New Roman" w:eastAsia="宋体" w:hAnsi="Times New Roman"/>
                <w:sz w:val="18"/>
                <w:szCs w:val="18"/>
                <w:shd w:val="clear" w:color="auto" w:fill="FFFFFF"/>
              </w:rPr>
              <w:t>骨架振动，酮基共轭</w:t>
            </w:r>
            <w:r w:rsidRPr="00E616C0">
              <w:rPr>
                <w:rFonts w:ascii="Times New Roman" w:eastAsia="宋体" w:hAnsi="Times New Roman"/>
                <w:sz w:val="18"/>
                <w:szCs w:val="18"/>
                <w:shd w:val="clear" w:color="auto" w:fill="FFFFFF"/>
              </w:rPr>
              <w:t>C=O</w:t>
            </w:r>
            <w:r w:rsidRPr="00E616C0">
              <w:rPr>
                <w:rFonts w:ascii="Times New Roman" w:eastAsia="宋体" w:hAnsi="Times New Roman"/>
                <w:sz w:val="18"/>
                <w:szCs w:val="18"/>
                <w:shd w:val="clear" w:color="auto" w:fill="FFFFFF"/>
              </w:rPr>
              <w:t>的强氢键缔合伸展振动</w:t>
            </w:r>
          </w:p>
        </w:tc>
      </w:tr>
      <w:tr w:rsidR="0059414D" w14:paraId="3C5B12D3" w14:textId="77777777">
        <w:trPr>
          <w:jc w:val="center"/>
        </w:trPr>
        <w:tc>
          <w:tcPr>
            <w:tcW w:w="1193" w:type="pct"/>
            <w:tcBorders>
              <w:top w:val="nil"/>
              <w:left w:val="nil"/>
              <w:bottom w:val="nil"/>
              <w:right w:val="nil"/>
            </w:tcBorders>
            <w:shd w:val="clear" w:color="auto" w:fill="auto"/>
          </w:tcPr>
          <w:p w14:paraId="799599AA"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1590–1517</w:t>
            </w:r>
          </w:p>
        </w:tc>
        <w:tc>
          <w:tcPr>
            <w:tcW w:w="3807" w:type="pct"/>
            <w:tcBorders>
              <w:top w:val="nil"/>
              <w:left w:val="nil"/>
              <w:bottom w:val="nil"/>
              <w:right w:val="nil"/>
            </w:tcBorders>
            <w:shd w:val="clear" w:color="auto" w:fill="auto"/>
          </w:tcPr>
          <w:p w14:paraId="7B350704"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COO</w:t>
            </w:r>
            <w:r w:rsidRPr="00E616C0">
              <w:rPr>
                <w:rFonts w:ascii="Times New Roman" w:eastAsia="宋体" w:hAnsi="Times New Roman"/>
                <w:sz w:val="18"/>
                <w:szCs w:val="18"/>
                <w:shd w:val="clear" w:color="auto" w:fill="FFFFFF"/>
                <w:vertAlign w:val="superscript"/>
              </w:rPr>
              <w:t>–</w:t>
            </w:r>
            <w:r w:rsidRPr="00E616C0">
              <w:rPr>
                <w:rFonts w:ascii="Times New Roman" w:eastAsia="宋体" w:hAnsi="Times New Roman"/>
                <w:sz w:val="18"/>
                <w:szCs w:val="18"/>
                <w:shd w:val="clear" w:color="auto" w:fill="FFFFFF"/>
              </w:rPr>
              <w:t xml:space="preserve"> </w:t>
            </w:r>
            <w:r w:rsidRPr="00E616C0">
              <w:rPr>
                <w:rFonts w:ascii="Times New Roman" w:eastAsia="宋体" w:hAnsi="Times New Roman"/>
                <w:sz w:val="18"/>
                <w:szCs w:val="18"/>
                <w:shd w:val="clear" w:color="auto" w:fill="FFFFFF"/>
              </w:rPr>
              <w:t>对称伸展振动，</w:t>
            </w:r>
            <w:r w:rsidRPr="00E616C0">
              <w:rPr>
                <w:rFonts w:ascii="Times New Roman" w:eastAsia="宋体" w:hAnsi="Times New Roman"/>
                <w:sz w:val="18"/>
                <w:szCs w:val="18"/>
                <w:shd w:val="clear" w:color="auto" w:fill="FFFFFF"/>
              </w:rPr>
              <w:t>N–H</w:t>
            </w:r>
            <w:r w:rsidRPr="00E616C0">
              <w:rPr>
                <w:rFonts w:ascii="Times New Roman" w:eastAsia="宋体" w:hAnsi="Times New Roman"/>
                <w:sz w:val="18"/>
                <w:szCs w:val="18"/>
                <w:shd w:val="clear" w:color="auto" w:fill="FFFFFF"/>
              </w:rPr>
              <w:t>变形和</w:t>
            </w:r>
            <w:r w:rsidRPr="00E616C0">
              <w:rPr>
                <w:rFonts w:ascii="Times New Roman" w:eastAsia="宋体" w:hAnsi="Times New Roman"/>
                <w:sz w:val="18"/>
                <w:szCs w:val="18"/>
                <w:shd w:val="clear" w:color="auto" w:fill="FFFFFF"/>
              </w:rPr>
              <w:t>C=N</w:t>
            </w:r>
            <w:r w:rsidRPr="00E616C0">
              <w:rPr>
                <w:rFonts w:ascii="Times New Roman" w:eastAsia="宋体" w:hAnsi="Times New Roman"/>
                <w:sz w:val="18"/>
                <w:szCs w:val="18"/>
                <w:shd w:val="clear" w:color="auto" w:fill="FFFFFF"/>
              </w:rPr>
              <w:t>伸展振动（酰胺</w:t>
            </w:r>
            <w:r w:rsidRPr="00E616C0">
              <w:rPr>
                <w:rFonts w:ascii="Times New Roman" w:eastAsia="宋体" w:hAnsi="Times New Roman"/>
                <w:sz w:val="18"/>
                <w:szCs w:val="18"/>
                <w:shd w:val="clear" w:color="auto" w:fill="FFFFFF"/>
              </w:rPr>
              <w:t>II</w:t>
            </w:r>
            <w:r w:rsidRPr="00E616C0">
              <w:rPr>
                <w:rFonts w:ascii="Times New Roman" w:eastAsia="宋体" w:hAnsi="Times New Roman"/>
                <w:sz w:val="18"/>
                <w:szCs w:val="18"/>
                <w:shd w:val="clear" w:color="auto" w:fill="FFFFFF"/>
              </w:rPr>
              <w:t>带）</w:t>
            </w:r>
          </w:p>
        </w:tc>
      </w:tr>
      <w:tr w:rsidR="0059414D" w14:paraId="2C640C84" w14:textId="77777777">
        <w:trPr>
          <w:jc w:val="center"/>
        </w:trPr>
        <w:tc>
          <w:tcPr>
            <w:tcW w:w="1193" w:type="pct"/>
            <w:tcBorders>
              <w:top w:val="nil"/>
              <w:left w:val="nil"/>
              <w:bottom w:val="nil"/>
              <w:right w:val="nil"/>
            </w:tcBorders>
            <w:shd w:val="clear" w:color="auto" w:fill="auto"/>
          </w:tcPr>
          <w:p w14:paraId="0CEDF190"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1460–1450</w:t>
            </w:r>
          </w:p>
        </w:tc>
        <w:tc>
          <w:tcPr>
            <w:tcW w:w="3807" w:type="pct"/>
            <w:tcBorders>
              <w:top w:val="nil"/>
              <w:left w:val="nil"/>
              <w:bottom w:val="nil"/>
              <w:right w:val="nil"/>
            </w:tcBorders>
            <w:shd w:val="clear" w:color="auto" w:fill="auto"/>
          </w:tcPr>
          <w:p w14:paraId="1F58CAAD"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脂肪</w:t>
            </w:r>
            <w:r w:rsidRPr="00E616C0">
              <w:rPr>
                <w:rFonts w:ascii="Times New Roman" w:eastAsia="宋体" w:hAnsi="Times New Roman"/>
                <w:sz w:val="18"/>
                <w:szCs w:val="18"/>
                <w:shd w:val="clear" w:color="auto" w:fill="FFFFFF"/>
              </w:rPr>
              <w:t>C–H</w:t>
            </w:r>
            <w:r w:rsidRPr="00E616C0">
              <w:rPr>
                <w:rFonts w:ascii="Times New Roman" w:eastAsia="宋体" w:hAnsi="Times New Roman"/>
                <w:sz w:val="18"/>
                <w:szCs w:val="18"/>
                <w:shd w:val="clear" w:color="auto" w:fill="FFFFFF"/>
              </w:rPr>
              <w:t>振动</w:t>
            </w:r>
          </w:p>
        </w:tc>
      </w:tr>
      <w:tr w:rsidR="0059414D" w14:paraId="64E5BACC" w14:textId="77777777">
        <w:trPr>
          <w:jc w:val="center"/>
        </w:trPr>
        <w:tc>
          <w:tcPr>
            <w:tcW w:w="1193" w:type="pct"/>
            <w:tcBorders>
              <w:top w:val="nil"/>
              <w:left w:val="nil"/>
              <w:bottom w:val="nil"/>
              <w:right w:val="nil"/>
            </w:tcBorders>
            <w:shd w:val="clear" w:color="auto" w:fill="auto"/>
          </w:tcPr>
          <w:p w14:paraId="1540EA3D"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1400–1390</w:t>
            </w:r>
          </w:p>
        </w:tc>
        <w:tc>
          <w:tcPr>
            <w:tcW w:w="3807" w:type="pct"/>
            <w:tcBorders>
              <w:top w:val="nil"/>
              <w:left w:val="nil"/>
              <w:bottom w:val="nil"/>
              <w:right w:val="nil"/>
            </w:tcBorders>
            <w:shd w:val="clear" w:color="auto" w:fill="auto"/>
          </w:tcPr>
          <w:p w14:paraId="7666E82B"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OH</w:t>
            </w:r>
            <w:r w:rsidRPr="00E616C0">
              <w:rPr>
                <w:rFonts w:ascii="Times New Roman" w:eastAsia="宋体" w:hAnsi="Times New Roman"/>
                <w:sz w:val="18"/>
                <w:szCs w:val="18"/>
                <w:shd w:val="clear" w:color="auto" w:fill="FFFFFF"/>
              </w:rPr>
              <w:t>变形和酚羟基的</w:t>
            </w:r>
            <w:r w:rsidRPr="00E616C0">
              <w:rPr>
                <w:rFonts w:ascii="Times New Roman" w:eastAsia="宋体" w:hAnsi="Times New Roman"/>
                <w:sz w:val="18"/>
                <w:szCs w:val="18"/>
                <w:shd w:val="clear" w:color="auto" w:fill="FFFFFF"/>
              </w:rPr>
              <w:t>C-O</w:t>
            </w:r>
            <w:r w:rsidRPr="00E616C0">
              <w:rPr>
                <w:rFonts w:ascii="Times New Roman" w:eastAsia="宋体" w:hAnsi="Times New Roman"/>
                <w:sz w:val="18"/>
                <w:szCs w:val="18"/>
                <w:shd w:val="clear" w:color="auto" w:fill="FFFFFF"/>
              </w:rPr>
              <w:t>伸展振动，</w:t>
            </w:r>
            <w:r w:rsidRPr="00E616C0">
              <w:rPr>
                <w:rFonts w:ascii="Times New Roman" w:eastAsia="宋体" w:hAnsi="Times New Roman"/>
                <w:sz w:val="18"/>
                <w:szCs w:val="18"/>
                <w:shd w:val="clear" w:color="auto" w:fill="FFFFFF"/>
              </w:rPr>
              <w:t>CH</w:t>
            </w:r>
            <w:r w:rsidRPr="00E616C0">
              <w:rPr>
                <w:rFonts w:ascii="Times New Roman" w:eastAsia="宋体" w:hAnsi="Times New Roman"/>
                <w:sz w:val="18"/>
                <w:szCs w:val="18"/>
                <w:shd w:val="clear" w:color="auto" w:fill="FFFFFF"/>
                <w:vertAlign w:val="subscript"/>
              </w:rPr>
              <w:t>2</w:t>
            </w:r>
            <w:r w:rsidRPr="00E616C0">
              <w:rPr>
                <w:rFonts w:ascii="Times New Roman" w:eastAsia="宋体" w:hAnsi="Times New Roman"/>
                <w:sz w:val="18"/>
                <w:szCs w:val="18"/>
                <w:shd w:val="clear" w:color="auto" w:fill="FFFFFF"/>
              </w:rPr>
              <w:t>和</w:t>
            </w:r>
            <w:r w:rsidRPr="00E616C0">
              <w:rPr>
                <w:rFonts w:ascii="Times New Roman" w:eastAsia="宋体" w:hAnsi="Times New Roman"/>
                <w:sz w:val="18"/>
                <w:szCs w:val="18"/>
                <w:shd w:val="clear" w:color="auto" w:fill="FFFFFF"/>
              </w:rPr>
              <w:t>CH</w:t>
            </w:r>
            <w:r w:rsidRPr="00E616C0">
              <w:rPr>
                <w:rFonts w:ascii="Times New Roman" w:eastAsia="宋体" w:hAnsi="Times New Roman"/>
                <w:sz w:val="18"/>
                <w:szCs w:val="18"/>
                <w:shd w:val="clear" w:color="auto" w:fill="FFFFFF"/>
                <w:vertAlign w:val="subscript"/>
              </w:rPr>
              <w:t>3</w:t>
            </w:r>
            <w:r w:rsidRPr="00E616C0">
              <w:rPr>
                <w:rFonts w:ascii="Times New Roman" w:eastAsia="宋体" w:hAnsi="Times New Roman"/>
                <w:sz w:val="18"/>
                <w:szCs w:val="18"/>
                <w:shd w:val="clear" w:color="auto" w:fill="FFFFFF"/>
              </w:rPr>
              <w:t>基团的</w:t>
            </w:r>
            <w:r w:rsidRPr="00E616C0">
              <w:rPr>
                <w:rFonts w:ascii="Times New Roman" w:eastAsia="宋体" w:hAnsi="Times New Roman"/>
                <w:sz w:val="18"/>
                <w:szCs w:val="18"/>
                <w:shd w:val="clear" w:color="auto" w:fill="FFFFFF"/>
              </w:rPr>
              <w:t>C-H</w:t>
            </w:r>
            <w:r w:rsidRPr="00E616C0">
              <w:rPr>
                <w:rFonts w:ascii="Times New Roman" w:eastAsia="宋体" w:hAnsi="Times New Roman"/>
                <w:sz w:val="18"/>
                <w:szCs w:val="18"/>
                <w:shd w:val="clear" w:color="auto" w:fill="FFFFFF"/>
              </w:rPr>
              <w:t>变形，</w:t>
            </w:r>
            <w:r w:rsidRPr="00E616C0">
              <w:rPr>
                <w:rFonts w:ascii="Times New Roman" w:eastAsia="宋体" w:hAnsi="Times New Roman"/>
                <w:sz w:val="18"/>
                <w:szCs w:val="18"/>
                <w:shd w:val="clear" w:color="auto" w:fill="FFFFFF"/>
              </w:rPr>
              <w:t>COO-</w:t>
            </w:r>
            <w:r w:rsidRPr="00E616C0">
              <w:rPr>
                <w:rFonts w:ascii="Times New Roman" w:eastAsia="宋体" w:hAnsi="Times New Roman"/>
                <w:sz w:val="18"/>
                <w:szCs w:val="18"/>
                <w:shd w:val="clear" w:color="auto" w:fill="FFFFFF"/>
              </w:rPr>
              <w:t>反对称伸展振动</w:t>
            </w:r>
          </w:p>
        </w:tc>
      </w:tr>
      <w:tr w:rsidR="0059414D" w14:paraId="7F9FC75B" w14:textId="77777777">
        <w:trPr>
          <w:jc w:val="center"/>
        </w:trPr>
        <w:tc>
          <w:tcPr>
            <w:tcW w:w="1193" w:type="pct"/>
            <w:tcBorders>
              <w:top w:val="nil"/>
              <w:left w:val="nil"/>
              <w:bottom w:val="nil"/>
              <w:right w:val="nil"/>
            </w:tcBorders>
            <w:shd w:val="clear" w:color="auto" w:fill="auto"/>
          </w:tcPr>
          <w:p w14:paraId="5C3C03A4"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1280–1200</w:t>
            </w:r>
          </w:p>
        </w:tc>
        <w:tc>
          <w:tcPr>
            <w:tcW w:w="3807" w:type="pct"/>
            <w:tcBorders>
              <w:top w:val="nil"/>
              <w:left w:val="nil"/>
              <w:bottom w:val="nil"/>
              <w:right w:val="nil"/>
            </w:tcBorders>
            <w:shd w:val="clear" w:color="auto" w:fill="auto"/>
          </w:tcPr>
          <w:p w14:paraId="05649B20"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rPr>
              <w:t>羧基</w:t>
            </w:r>
            <w:r w:rsidRPr="00E616C0">
              <w:rPr>
                <w:rFonts w:ascii="Times New Roman" w:eastAsia="宋体" w:hAnsi="Times New Roman"/>
                <w:sz w:val="18"/>
                <w:szCs w:val="18"/>
                <w:shd w:val="clear" w:color="auto" w:fill="FFFFFF"/>
              </w:rPr>
              <w:t>的</w:t>
            </w:r>
            <w:r w:rsidRPr="00E616C0">
              <w:rPr>
                <w:rFonts w:ascii="Times New Roman" w:eastAsia="宋体" w:hAnsi="Times New Roman"/>
                <w:sz w:val="18"/>
                <w:szCs w:val="18"/>
                <w:shd w:val="clear" w:color="auto" w:fill="FFFFFF"/>
              </w:rPr>
              <w:t>C-O</w:t>
            </w:r>
            <w:r w:rsidRPr="00E616C0">
              <w:rPr>
                <w:rFonts w:ascii="Times New Roman" w:eastAsia="宋体" w:hAnsi="Times New Roman"/>
                <w:sz w:val="18"/>
                <w:szCs w:val="18"/>
                <w:shd w:val="clear" w:color="auto" w:fill="FFFFFF"/>
              </w:rPr>
              <w:t>伸展振动和</w:t>
            </w:r>
            <w:r w:rsidRPr="00E616C0">
              <w:rPr>
                <w:rFonts w:ascii="Times New Roman" w:eastAsia="宋体" w:hAnsi="Times New Roman"/>
                <w:sz w:val="18"/>
                <w:szCs w:val="18"/>
                <w:shd w:val="clear" w:color="auto" w:fill="FFFFFF"/>
              </w:rPr>
              <w:t>OH</w:t>
            </w:r>
            <w:r w:rsidRPr="00E616C0">
              <w:rPr>
                <w:rFonts w:ascii="Times New Roman" w:eastAsia="宋体" w:hAnsi="Times New Roman"/>
                <w:sz w:val="18"/>
                <w:szCs w:val="18"/>
                <w:shd w:val="clear" w:color="auto" w:fill="FFFFFF"/>
              </w:rPr>
              <w:t>变形，芳基醚的</w:t>
            </w:r>
            <w:r w:rsidRPr="00E616C0">
              <w:rPr>
                <w:rFonts w:ascii="Times New Roman" w:eastAsia="宋体" w:hAnsi="Times New Roman"/>
                <w:sz w:val="18"/>
                <w:szCs w:val="18"/>
                <w:shd w:val="clear" w:color="auto" w:fill="FFFFFF"/>
              </w:rPr>
              <w:t>C-O</w:t>
            </w:r>
            <w:r w:rsidRPr="00E616C0">
              <w:rPr>
                <w:rFonts w:ascii="Times New Roman" w:eastAsia="宋体" w:hAnsi="Times New Roman"/>
                <w:sz w:val="18"/>
                <w:szCs w:val="18"/>
                <w:shd w:val="clear" w:color="auto" w:fill="FFFFFF"/>
              </w:rPr>
              <w:t>伸缩</w:t>
            </w:r>
          </w:p>
        </w:tc>
      </w:tr>
      <w:tr w:rsidR="0059414D" w14:paraId="1BEA5FDD" w14:textId="77777777">
        <w:trPr>
          <w:jc w:val="center"/>
        </w:trPr>
        <w:tc>
          <w:tcPr>
            <w:tcW w:w="1193" w:type="pct"/>
            <w:tcBorders>
              <w:top w:val="nil"/>
              <w:left w:val="nil"/>
              <w:bottom w:val="nil"/>
              <w:right w:val="nil"/>
            </w:tcBorders>
            <w:shd w:val="clear" w:color="auto" w:fill="auto"/>
          </w:tcPr>
          <w:p w14:paraId="2FAFD8C2"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1170–950</w:t>
            </w:r>
          </w:p>
        </w:tc>
        <w:tc>
          <w:tcPr>
            <w:tcW w:w="3807" w:type="pct"/>
            <w:tcBorders>
              <w:top w:val="nil"/>
              <w:left w:val="nil"/>
              <w:bottom w:val="nil"/>
              <w:right w:val="nil"/>
            </w:tcBorders>
            <w:shd w:val="clear" w:color="auto" w:fill="auto"/>
          </w:tcPr>
          <w:p w14:paraId="081B5722"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多糖或多糖类物质的</w:t>
            </w:r>
            <w:r w:rsidRPr="00E616C0">
              <w:rPr>
                <w:rFonts w:ascii="Times New Roman" w:eastAsia="宋体" w:hAnsi="Times New Roman"/>
                <w:sz w:val="18"/>
                <w:szCs w:val="18"/>
                <w:shd w:val="clear" w:color="auto" w:fill="FFFFFF"/>
              </w:rPr>
              <w:t>C-O</w:t>
            </w:r>
            <w:r w:rsidRPr="00E616C0">
              <w:rPr>
                <w:rFonts w:ascii="Times New Roman" w:eastAsia="宋体" w:hAnsi="Times New Roman"/>
                <w:sz w:val="18"/>
                <w:szCs w:val="18"/>
                <w:shd w:val="clear" w:color="auto" w:fill="FFFFFF"/>
              </w:rPr>
              <w:t>伸展振动，硅酸盐杂质的</w:t>
            </w:r>
            <w:r w:rsidRPr="00E616C0">
              <w:rPr>
                <w:rFonts w:ascii="Times New Roman" w:eastAsia="宋体" w:hAnsi="Times New Roman"/>
                <w:sz w:val="18"/>
                <w:szCs w:val="18"/>
                <w:shd w:val="clear" w:color="auto" w:fill="FFFFFF"/>
              </w:rPr>
              <w:t>Si-O</w:t>
            </w:r>
            <w:r w:rsidRPr="00E616C0">
              <w:rPr>
                <w:rFonts w:ascii="Times New Roman" w:eastAsia="宋体" w:hAnsi="Times New Roman"/>
                <w:sz w:val="18"/>
                <w:szCs w:val="18"/>
                <w:shd w:val="clear" w:color="auto" w:fill="FFFFFF"/>
              </w:rPr>
              <w:t>振动</w:t>
            </w:r>
          </w:p>
        </w:tc>
      </w:tr>
      <w:tr w:rsidR="0059414D" w14:paraId="0019BAE3" w14:textId="77777777">
        <w:trPr>
          <w:jc w:val="center"/>
        </w:trPr>
        <w:tc>
          <w:tcPr>
            <w:tcW w:w="1193" w:type="pct"/>
            <w:tcBorders>
              <w:top w:val="nil"/>
              <w:left w:val="nil"/>
              <w:bottom w:val="single" w:sz="12" w:space="0" w:color="auto"/>
              <w:right w:val="nil"/>
            </w:tcBorders>
            <w:shd w:val="clear" w:color="auto" w:fill="auto"/>
          </w:tcPr>
          <w:p w14:paraId="096C50B8" w14:textId="77777777" w:rsidR="0059414D" w:rsidRPr="00E616C0" w:rsidRDefault="0051453F">
            <w:pPr>
              <w:suppressLineNumbers/>
              <w:adjustRightInd w:val="0"/>
              <w:snapToGrid w:val="0"/>
              <w:spacing w:line="300" w:lineRule="exact"/>
              <w:jc w:val="center"/>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900–600</w:t>
            </w:r>
          </w:p>
        </w:tc>
        <w:tc>
          <w:tcPr>
            <w:tcW w:w="3807" w:type="pct"/>
            <w:tcBorders>
              <w:top w:val="nil"/>
              <w:left w:val="nil"/>
              <w:bottom w:val="single" w:sz="12" w:space="0" w:color="auto"/>
              <w:right w:val="nil"/>
            </w:tcBorders>
            <w:shd w:val="clear" w:color="auto" w:fill="auto"/>
          </w:tcPr>
          <w:p w14:paraId="1B61557F" w14:textId="77777777" w:rsidR="0059414D" w:rsidRPr="00E616C0" w:rsidRDefault="0051453F">
            <w:pPr>
              <w:suppressLineNumbers/>
              <w:adjustRightInd w:val="0"/>
              <w:snapToGrid w:val="0"/>
              <w:spacing w:line="300" w:lineRule="exact"/>
              <w:rPr>
                <w:rFonts w:ascii="Times New Roman" w:eastAsia="宋体" w:hAnsi="Times New Roman"/>
                <w:sz w:val="18"/>
                <w:szCs w:val="18"/>
                <w:shd w:val="clear" w:color="auto" w:fill="FFFFFF"/>
              </w:rPr>
            </w:pPr>
            <w:r w:rsidRPr="00E616C0">
              <w:rPr>
                <w:rFonts w:ascii="Times New Roman" w:eastAsia="宋体" w:hAnsi="Times New Roman"/>
                <w:sz w:val="18"/>
                <w:szCs w:val="18"/>
                <w:shd w:val="clear" w:color="auto" w:fill="FFFFFF"/>
              </w:rPr>
              <w:t xml:space="preserve">C–H </w:t>
            </w:r>
            <w:r w:rsidRPr="00E616C0">
              <w:rPr>
                <w:rFonts w:ascii="Times New Roman" w:eastAsia="宋体" w:hAnsi="Times New Roman"/>
                <w:sz w:val="18"/>
                <w:szCs w:val="18"/>
                <w:shd w:val="clear" w:color="auto" w:fill="FFFFFF"/>
              </w:rPr>
              <w:t>面外伸展振动和变形</w:t>
            </w:r>
          </w:p>
        </w:tc>
      </w:tr>
    </w:tbl>
    <w:p w14:paraId="76235075" w14:textId="77777777" w:rsidR="00E616C0" w:rsidRDefault="00E616C0">
      <w:pPr>
        <w:adjustRightInd w:val="0"/>
        <w:snapToGrid w:val="0"/>
        <w:spacing w:line="300" w:lineRule="auto"/>
        <w:rPr>
          <w:rFonts w:ascii="Times New Roman" w:hAnsi="Times New Roman" w:cs="Times New Roman"/>
        </w:rPr>
      </w:pPr>
    </w:p>
    <w:p w14:paraId="43D288F9" w14:textId="77777777" w:rsidR="00325DF9" w:rsidRDefault="00325DF9">
      <w:pPr>
        <w:adjustRightInd w:val="0"/>
        <w:snapToGrid w:val="0"/>
        <w:spacing w:line="300" w:lineRule="auto"/>
        <w:rPr>
          <w:rFonts w:ascii="Times New Roman" w:hAnsi="Times New Roman" w:cs="Times New Roman"/>
        </w:rPr>
      </w:pPr>
    </w:p>
    <w:p w14:paraId="7EDD924B" w14:textId="77777777" w:rsidR="00325DF9" w:rsidRDefault="00325DF9">
      <w:pPr>
        <w:adjustRightInd w:val="0"/>
        <w:snapToGrid w:val="0"/>
        <w:spacing w:line="300" w:lineRule="auto"/>
        <w:rPr>
          <w:rFonts w:ascii="Times New Roman" w:hAnsi="Times New Roman" w:cs="Times New Roman"/>
        </w:rPr>
      </w:pPr>
    </w:p>
    <w:p w14:paraId="15423F49"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szCs w:val="21"/>
        </w:rPr>
      </w:pPr>
    </w:p>
    <w:p w14:paraId="298286B2" w14:textId="77777777" w:rsidR="0059414D" w:rsidRDefault="0051453F">
      <w:pPr>
        <w:autoSpaceDE w:val="0"/>
        <w:autoSpaceDN w:val="0"/>
        <w:adjustRightInd w:val="0"/>
        <w:snapToGrid w:val="0"/>
        <w:spacing w:line="300" w:lineRule="auto"/>
        <w:ind w:firstLineChars="200" w:firstLine="420"/>
        <w:jc w:val="center"/>
        <w:rPr>
          <w:rStyle w:val="af0"/>
        </w:rPr>
      </w:pPr>
      <w:r>
        <w:rPr>
          <w:noProof/>
        </w:rPr>
        <w:lastRenderedPageBreak/>
        <w:drawing>
          <wp:anchor distT="0" distB="0" distL="114935" distR="114935" simplePos="0" relativeHeight="251845632" behindDoc="0" locked="0" layoutInCell="1" allowOverlap="1" wp14:anchorId="3E237EF7" wp14:editId="72CAABCF">
            <wp:simplePos x="0" y="0"/>
            <wp:positionH relativeFrom="column">
              <wp:posOffset>2501265</wp:posOffset>
            </wp:positionH>
            <wp:positionV relativeFrom="paragraph">
              <wp:posOffset>90805</wp:posOffset>
            </wp:positionV>
            <wp:extent cx="3126740" cy="2997835"/>
            <wp:effectExtent l="0" t="0" r="0" b="0"/>
            <wp:wrapNone/>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5"/>
                    <a:stretch>
                      <a:fillRect/>
                    </a:stretch>
                  </pic:blipFill>
                  <pic:spPr>
                    <a:xfrm>
                      <a:off x="0" y="0"/>
                      <a:ext cx="3126740" cy="2997835"/>
                    </a:xfrm>
                    <a:prstGeom prst="rect">
                      <a:avLst/>
                    </a:prstGeom>
                    <a:noFill/>
                    <a:ln>
                      <a:noFill/>
                    </a:ln>
                  </pic:spPr>
                </pic:pic>
              </a:graphicData>
            </a:graphic>
          </wp:anchor>
        </w:drawing>
      </w:r>
      <w:r>
        <w:rPr>
          <w:noProof/>
        </w:rPr>
        <w:drawing>
          <wp:anchor distT="0" distB="0" distL="114935" distR="114935" simplePos="0" relativeHeight="251844608" behindDoc="0" locked="0" layoutInCell="1" allowOverlap="1" wp14:anchorId="642E1B7C" wp14:editId="57E1447A">
            <wp:simplePos x="0" y="0"/>
            <wp:positionH relativeFrom="column">
              <wp:posOffset>-631190</wp:posOffset>
            </wp:positionH>
            <wp:positionV relativeFrom="paragraph">
              <wp:posOffset>140970</wp:posOffset>
            </wp:positionV>
            <wp:extent cx="3543300" cy="2997835"/>
            <wp:effectExtent l="0" t="0" r="0" b="0"/>
            <wp:wrapNone/>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6"/>
                    <a:stretch>
                      <a:fillRect/>
                    </a:stretch>
                  </pic:blipFill>
                  <pic:spPr>
                    <a:xfrm>
                      <a:off x="0" y="0"/>
                      <a:ext cx="3543300" cy="2997835"/>
                    </a:xfrm>
                    <a:prstGeom prst="rect">
                      <a:avLst/>
                    </a:prstGeom>
                    <a:noFill/>
                    <a:ln>
                      <a:noFill/>
                    </a:ln>
                  </pic:spPr>
                </pic:pic>
              </a:graphicData>
            </a:graphic>
          </wp:anchor>
        </w:drawing>
      </w:r>
    </w:p>
    <w:p w14:paraId="0F7636D4" w14:textId="77777777" w:rsidR="0059414D" w:rsidRDefault="0059414D">
      <w:pPr>
        <w:autoSpaceDE w:val="0"/>
        <w:autoSpaceDN w:val="0"/>
        <w:adjustRightInd w:val="0"/>
        <w:snapToGrid w:val="0"/>
        <w:spacing w:line="300" w:lineRule="auto"/>
        <w:ind w:firstLineChars="200" w:firstLine="420"/>
        <w:jc w:val="center"/>
        <w:rPr>
          <w:rStyle w:val="af0"/>
        </w:rPr>
      </w:pPr>
    </w:p>
    <w:p w14:paraId="45222687" w14:textId="77777777" w:rsidR="0059414D" w:rsidRDefault="0059414D">
      <w:pPr>
        <w:autoSpaceDE w:val="0"/>
        <w:autoSpaceDN w:val="0"/>
        <w:adjustRightInd w:val="0"/>
        <w:snapToGrid w:val="0"/>
        <w:spacing w:line="300" w:lineRule="auto"/>
        <w:ind w:firstLineChars="200" w:firstLine="420"/>
        <w:jc w:val="center"/>
        <w:rPr>
          <w:rStyle w:val="af0"/>
        </w:rPr>
      </w:pPr>
    </w:p>
    <w:p w14:paraId="4A2CD5C5" w14:textId="77777777" w:rsidR="0059414D" w:rsidRDefault="0059414D">
      <w:pPr>
        <w:autoSpaceDE w:val="0"/>
        <w:autoSpaceDN w:val="0"/>
        <w:adjustRightInd w:val="0"/>
        <w:snapToGrid w:val="0"/>
        <w:spacing w:line="300" w:lineRule="auto"/>
        <w:ind w:firstLineChars="200" w:firstLine="420"/>
        <w:jc w:val="center"/>
        <w:rPr>
          <w:rStyle w:val="af0"/>
        </w:rPr>
      </w:pPr>
    </w:p>
    <w:p w14:paraId="3511C068" w14:textId="77777777" w:rsidR="0059414D" w:rsidRDefault="0059414D">
      <w:pPr>
        <w:autoSpaceDE w:val="0"/>
        <w:autoSpaceDN w:val="0"/>
        <w:adjustRightInd w:val="0"/>
        <w:snapToGrid w:val="0"/>
        <w:spacing w:line="300" w:lineRule="auto"/>
        <w:ind w:firstLineChars="200" w:firstLine="420"/>
        <w:jc w:val="center"/>
        <w:rPr>
          <w:rStyle w:val="af0"/>
        </w:rPr>
      </w:pPr>
    </w:p>
    <w:p w14:paraId="050F2775" w14:textId="77777777" w:rsidR="0059414D" w:rsidRDefault="0059414D">
      <w:pPr>
        <w:autoSpaceDE w:val="0"/>
        <w:autoSpaceDN w:val="0"/>
        <w:adjustRightInd w:val="0"/>
        <w:snapToGrid w:val="0"/>
        <w:spacing w:line="300" w:lineRule="auto"/>
        <w:ind w:firstLineChars="200" w:firstLine="420"/>
        <w:jc w:val="center"/>
        <w:rPr>
          <w:rStyle w:val="af0"/>
        </w:rPr>
      </w:pPr>
    </w:p>
    <w:p w14:paraId="31696688" w14:textId="77777777" w:rsidR="0059414D" w:rsidRDefault="0059414D">
      <w:pPr>
        <w:autoSpaceDE w:val="0"/>
        <w:autoSpaceDN w:val="0"/>
        <w:adjustRightInd w:val="0"/>
        <w:snapToGrid w:val="0"/>
        <w:spacing w:line="300" w:lineRule="auto"/>
        <w:ind w:firstLineChars="200" w:firstLine="420"/>
        <w:jc w:val="center"/>
        <w:rPr>
          <w:rStyle w:val="af0"/>
        </w:rPr>
      </w:pPr>
    </w:p>
    <w:p w14:paraId="338F3DA2" w14:textId="77777777" w:rsidR="0059414D" w:rsidRDefault="0059414D">
      <w:pPr>
        <w:autoSpaceDE w:val="0"/>
        <w:autoSpaceDN w:val="0"/>
        <w:adjustRightInd w:val="0"/>
        <w:snapToGrid w:val="0"/>
        <w:spacing w:line="300" w:lineRule="auto"/>
        <w:ind w:firstLineChars="200" w:firstLine="420"/>
        <w:jc w:val="center"/>
        <w:rPr>
          <w:rStyle w:val="af0"/>
        </w:rPr>
      </w:pPr>
    </w:p>
    <w:p w14:paraId="193C3B9B" w14:textId="77777777" w:rsidR="0059414D" w:rsidRDefault="0059414D">
      <w:pPr>
        <w:autoSpaceDE w:val="0"/>
        <w:autoSpaceDN w:val="0"/>
        <w:adjustRightInd w:val="0"/>
        <w:snapToGrid w:val="0"/>
        <w:spacing w:line="300" w:lineRule="auto"/>
        <w:ind w:firstLineChars="200" w:firstLine="420"/>
        <w:jc w:val="center"/>
        <w:rPr>
          <w:rStyle w:val="af0"/>
        </w:rPr>
      </w:pPr>
    </w:p>
    <w:p w14:paraId="36C77549" w14:textId="77777777" w:rsidR="0059414D" w:rsidRDefault="0059414D">
      <w:pPr>
        <w:autoSpaceDE w:val="0"/>
        <w:autoSpaceDN w:val="0"/>
        <w:adjustRightInd w:val="0"/>
        <w:snapToGrid w:val="0"/>
        <w:spacing w:line="300" w:lineRule="auto"/>
        <w:ind w:firstLineChars="200" w:firstLine="420"/>
        <w:jc w:val="center"/>
        <w:rPr>
          <w:rStyle w:val="af0"/>
        </w:rPr>
      </w:pPr>
    </w:p>
    <w:p w14:paraId="1CEB5267" w14:textId="77777777" w:rsidR="0059414D" w:rsidRDefault="0059414D">
      <w:pPr>
        <w:autoSpaceDE w:val="0"/>
        <w:autoSpaceDN w:val="0"/>
        <w:adjustRightInd w:val="0"/>
        <w:snapToGrid w:val="0"/>
        <w:spacing w:line="300" w:lineRule="auto"/>
        <w:ind w:firstLineChars="200" w:firstLine="420"/>
        <w:jc w:val="center"/>
        <w:rPr>
          <w:rStyle w:val="af0"/>
        </w:rPr>
      </w:pPr>
    </w:p>
    <w:p w14:paraId="0AC50DF1" w14:textId="77777777" w:rsidR="0059414D" w:rsidRDefault="0059414D">
      <w:pPr>
        <w:autoSpaceDE w:val="0"/>
        <w:autoSpaceDN w:val="0"/>
        <w:adjustRightInd w:val="0"/>
        <w:snapToGrid w:val="0"/>
        <w:spacing w:line="300" w:lineRule="auto"/>
        <w:ind w:firstLineChars="200" w:firstLine="420"/>
        <w:jc w:val="center"/>
        <w:rPr>
          <w:rStyle w:val="af0"/>
        </w:rPr>
      </w:pPr>
    </w:p>
    <w:p w14:paraId="44B485D5" w14:textId="77777777" w:rsidR="0059414D" w:rsidRDefault="0059414D">
      <w:pPr>
        <w:autoSpaceDE w:val="0"/>
        <w:autoSpaceDN w:val="0"/>
        <w:adjustRightInd w:val="0"/>
        <w:snapToGrid w:val="0"/>
        <w:spacing w:line="300" w:lineRule="auto"/>
        <w:ind w:firstLineChars="200" w:firstLine="420"/>
        <w:jc w:val="center"/>
        <w:rPr>
          <w:rStyle w:val="af0"/>
        </w:rPr>
      </w:pPr>
    </w:p>
    <w:p w14:paraId="5C7F0775" w14:textId="77777777" w:rsidR="0059414D" w:rsidRDefault="0059414D">
      <w:pPr>
        <w:autoSpaceDE w:val="0"/>
        <w:autoSpaceDN w:val="0"/>
        <w:adjustRightInd w:val="0"/>
        <w:snapToGrid w:val="0"/>
        <w:spacing w:line="300" w:lineRule="auto"/>
        <w:ind w:firstLineChars="200" w:firstLine="420"/>
        <w:jc w:val="center"/>
        <w:rPr>
          <w:rStyle w:val="af0"/>
        </w:rPr>
      </w:pPr>
    </w:p>
    <w:p w14:paraId="104DED7F" w14:textId="77777777" w:rsidR="0059414D" w:rsidRDefault="0051453F">
      <w:pPr>
        <w:autoSpaceDE w:val="0"/>
        <w:autoSpaceDN w:val="0"/>
        <w:adjustRightInd w:val="0"/>
        <w:snapToGrid w:val="0"/>
        <w:spacing w:line="300" w:lineRule="auto"/>
        <w:ind w:firstLineChars="200" w:firstLine="420"/>
        <w:jc w:val="center"/>
        <w:rPr>
          <w:rStyle w:val="af0"/>
        </w:rPr>
      </w:pPr>
      <w:r>
        <w:rPr>
          <w:noProof/>
        </w:rPr>
        <w:drawing>
          <wp:anchor distT="0" distB="0" distL="114935" distR="114935" simplePos="0" relativeHeight="251847680" behindDoc="0" locked="0" layoutInCell="1" allowOverlap="1" wp14:anchorId="780CF3C1" wp14:editId="23F0217C">
            <wp:simplePos x="0" y="0"/>
            <wp:positionH relativeFrom="column">
              <wp:posOffset>2416175</wp:posOffset>
            </wp:positionH>
            <wp:positionV relativeFrom="paragraph">
              <wp:posOffset>21590</wp:posOffset>
            </wp:positionV>
            <wp:extent cx="3415665" cy="2913380"/>
            <wp:effectExtent l="0" t="0" r="0" b="0"/>
            <wp:wrapNone/>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7"/>
                    <a:stretch>
                      <a:fillRect/>
                    </a:stretch>
                  </pic:blipFill>
                  <pic:spPr>
                    <a:xfrm>
                      <a:off x="0" y="0"/>
                      <a:ext cx="3415665" cy="2913380"/>
                    </a:xfrm>
                    <a:prstGeom prst="rect">
                      <a:avLst/>
                    </a:prstGeom>
                    <a:noFill/>
                    <a:ln>
                      <a:noFill/>
                    </a:ln>
                  </pic:spPr>
                </pic:pic>
              </a:graphicData>
            </a:graphic>
          </wp:anchor>
        </w:drawing>
      </w:r>
      <w:r>
        <w:rPr>
          <w:noProof/>
        </w:rPr>
        <w:drawing>
          <wp:anchor distT="0" distB="0" distL="114935" distR="114935" simplePos="0" relativeHeight="251846656" behindDoc="0" locked="0" layoutInCell="1" allowOverlap="1" wp14:anchorId="4E415AF4" wp14:editId="3C4B125D">
            <wp:simplePos x="0" y="0"/>
            <wp:positionH relativeFrom="column">
              <wp:posOffset>-737235</wp:posOffset>
            </wp:positionH>
            <wp:positionV relativeFrom="paragraph">
              <wp:posOffset>10160</wp:posOffset>
            </wp:positionV>
            <wp:extent cx="3589655" cy="2941955"/>
            <wp:effectExtent l="0" t="0" r="0" b="0"/>
            <wp:wrapNone/>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18"/>
                    <a:stretch>
                      <a:fillRect/>
                    </a:stretch>
                  </pic:blipFill>
                  <pic:spPr>
                    <a:xfrm>
                      <a:off x="0" y="0"/>
                      <a:ext cx="3589655" cy="2941955"/>
                    </a:xfrm>
                    <a:prstGeom prst="rect">
                      <a:avLst/>
                    </a:prstGeom>
                    <a:noFill/>
                    <a:ln>
                      <a:noFill/>
                    </a:ln>
                  </pic:spPr>
                </pic:pic>
              </a:graphicData>
            </a:graphic>
          </wp:anchor>
        </w:drawing>
      </w:r>
    </w:p>
    <w:p w14:paraId="189CDA62" w14:textId="77777777" w:rsidR="0059414D" w:rsidRDefault="0059414D">
      <w:pPr>
        <w:autoSpaceDE w:val="0"/>
        <w:autoSpaceDN w:val="0"/>
        <w:adjustRightInd w:val="0"/>
        <w:snapToGrid w:val="0"/>
        <w:spacing w:line="300" w:lineRule="auto"/>
        <w:ind w:firstLineChars="200" w:firstLine="420"/>
        <w:jc w:val="center"/>
        <w:rPr>
          <w:rStyle w:val="af0"/>
        </w:rPr>
      </w:pPr>
    </w:p>
    <w:p w14:paraId="5472B2BF" w14:textId="77777777" w:rsidR="0059414D" w:rsidRDefault="0059414D">
      <w:pPr>
        <w:autoSpaceDE w:val="0"/>
        <w:autoSpaceDN w:val="0"/>
        <w:adjustRightInd w:val="0"/>
        <w:snapToGrid w:val="0"/>
        <w:spacing w:line="300" w:lineRule="auto"/>
        <w:ind w:firstLineChars="200" w:firstLine="420"/>
        <w:jc w:val="center"/>
        <w:rPr>
          <w:rStyle w:val="af0"/>
        </w:rPr>
      </w:pPr>
    </w:p>
    <w:p w14:paraId="4F403EB9" w14:textId="77777777" w:rsidR="0059414D" w:rsidRDefault="0059414D">
      <w:pPr>
        <w:autoSpaceDE w:val="0"/>
        <w:autoSpaceDN w:val="0"/>
        <w:adjustRightInd w:val="0"/>
        <w:snapToGrid w:val="0"/>
        <w:spacing w:line="300" w:lineRule="auto"/>
        <w:ind w:firstLineChars="200" w:firstLine="420"/>
        <w:jc w:val="center"/>
        <w:rPr>
          <w:rStyle w:val="af0"/>
        </w:rPr>
      </w:pPr>
    </w:p>
    <w:p w14:paraId="6EB32A47" w14:textId="77777777" w:rsidR="0059414D" w:rsidRDefault="0059414D">
      <w:pPr>
        <w:autoSpaceDE w:val="0"/>
        <w:autoSpaceDN w:val="0"/>
        <w:adjustRightInd w:val="0"/>
        <w:snapToGrid w:val="0"/>
        <w:spacing w:line="300" w:lineRule="auto"/>
        <w:ind w:firstLineChars="200" w:firstLine="420"/>
        <w:jc w:val="center"/>
        <w:rPr>
          <w:rStyle w:val="af0"/>
        </w:rPr>
      </w:pPr>
    </w:p>
    <w:p w14:paraId="6A69D549" w14:textId="77777777" w:rsidR="0059414D" w:rsidRDefault="0059414D">
      <w:pPr>
        <w:autoSpaceDE w:val="0"/>
        <w:autoSpaceDN w:val="0"/>
        <w:adjustRightInd w:val="0"/>
        <w:snapToGrid w:val="0"/>
        <w:spacing w:line="300" w:lineRule="auto"/>
        <w:ind w:firstLineChars="200" w:firstLine="420"/>
        <w:jc w:val="center"/>
        <w:rPr>
          <w:rStyle w:val="af0"/>
        </w:rPr>
      </w:pPr>
    </w:p>
    <w:p w14:paraId="79283625" w14:textId="77777777" w:rsidR="0059414D" w:rsidRDefault="0059414D">
      <w:pPr>
        <w:autoSpaceDE w:val="0"/>
        <w:autoSpaceDN w:val="0"/>
        <w:adjustRightInd w:val="0"/>
        <w:snapToGrid w:val="0"/>
        <w:spacing w:line="300" w:lineRule="auto"/>
        <w:ind w:firstLineChars="200" w:firstLine="420"/>
        <w:jc w:val="center"/>
        <w:rPr>
          <w:rStyle w:val="af0"/>
        </w:rPr>
      </w:pPr>
    </w:p>
    <w:p w14:paraId="16B22779" w14:textId="77777777" w:rsidR="0059414D" w:rsidRDefault="0059414D">
      <w:pPr>
        <w:autoSpaceDE w:val="0"/>
        <w:autoSpaceDN w:val="0"/>
        <w:adjustRightInd w:val="0"/>
        <w:snapToGrid w:val="0"/>
        <w:spacing w:line="300" w:lineRule="auto"/>
        <w:ind w:firstLineChars="200" w:firstLine="420"/>
        <w:jc w:val="center"/>
        <w:rPr>
          <w:rStyle w:val="af0"/>
        </w:rPr>
      </w:pPr>
    </w:p>
    <w:p w14:paraId="4BA11483" w14:textId="77777777" w:rsidR="0059414D" w:rsidRDefault="0059414D">
      <w:pPr>
        <w:autoSpaceDE w:val="0"/>
        <w:autoSpaceDN w:val="0"/>
        <w:adjustRightInd w:val="0"/>
        <w:snapToGrid w:val="0"/>
        <w:spacing w:line="300" w:lineRule="auto"/>
        <w:ind w:firstLineChars="200" w:firstLine="420"/>
        <w:jc w:val="center"/>
        <w:rPr>
          <w:rStyle w:val="af0"/>
        </w:rPr>
      </w:pPr>
    </w:p>
    <w:p w14:paraId="7D9CD155" w14:textId="77777777" w:rsidR="0059414D" w:rsidRDefault="0059414D">
      <w:pPr>
        <w:autoSpaceDE w:val="0"/>
        <w:autoSpaceDN w:val="0"/>
        <w:adjustRightInd w:val="0"/>
        <w:snapToGrid w:val="0"/>
        <w:spacing w:line="300" w:lineRule="auto"/>
        <w:ind w:firstLineChars="200" w:firstLine="420"/>
        <w:jc w:val="center"/>
        <w:rPr>
          <w:rStyle w:val="af0"/>
        </w:rPr>
      </w:pPr>
    </w:p>
    <w:p w14:paraId="0417B1BA" w14:textId="77777777" w:rsidR="0059414D" w:rsidRDefault="0059414D">
      <w:pPr>
        <w:autoSpaceDE w:val="0"/>
        <w:autoSpaceDN w:val="0"/>
        <w:adjustRightInd w:val="0"/>
        <w:snapToGrid w:val="0"/>
        <w:spacing w:line="300" w:lineRule="auto"/>
        <w:ind w:firstLineChars="200" w:firstLine="420"/>
        <w:jc w:val="center"/>
        <w:rPr>
          <w:rStyle w:val="af0"/>
        </w:rPr>
      </w:pPr>
    </w:p>
    <w:p w14:paraId="1C09EC30" w14:textId="77777777" w:rsidR="0059414D" w:rsidRDefault="0059414D">
      <w:pPr>
        <w:autoSpaceDE w:val="0"/>
        <w:autoSpaceDN w:val="0"/>
        <w:adjustRightInd w:val="0"/>
        <w:snapToGrid w:val="0"/>
        <w:spacing w:line="300" w:lineRule="auto"/>
        <w:ind w:firstLineChars="200" w:firstLine="420"/>
        <w:jc w:val="center"/>
        <w:rPr>
          <w:rStyle w:val="af0"/>
        </w:rPr>
      </w:pPr>
    </w:p>
    <w:p w14:paraId="43B6A915" w14:textId="77777777" w:rsidR="0059414D" w:rsidRDefault="0059414D">
      <w:pPr>
        <w:autoSpaceDE w:val="0"/>
        <w:autoSpaceDN w:val="0"/>
        <w:adjustRightInd w:val="0"/>
        <w:snapToGrid w:val="0"/>
        <w:spacing w:line="300" w:lineRule="auto"/>
        <w:ind w:firstLineChars="200" w:firstLine="420"/>
        <w:jc w:val="center"/>
        <w:rPr>
          <w:rStyle w:val="af0"/>
        </w:rPr>
      </w:pPr>
    </w:p>
    <w:p w14:paraId="51815495" w14:textId="77777777" w:rsidR="0059414D" w:rsidRDefault="0051453F">
      <w:pPr>
        <w:autoSpaceDE w:val="0"/>
        <w:autoSpaceDN w:val="0"/>
        <w:adjustRightInd w:val="0"/>
        <w:snapToGrid w:val="0"/>
        <w:spacing w:line="300" w:lineRule="auto"/>
        <w:ind w:firstLineChars="200" w:firstLine="420"/>
        <w:jc w:val="center"/>
        <w:rPr>
          <w:rStyle w:val="af0"/>
        </w:rPr>
      </w:pPr>
      <w:r>
        <w:rPr>
          <w:noProof/>
        </w:rPr>
        <w:drawing>
          <wp:anchor distT="0" distB="0" distL="114935" distR="114935" simplePos="0" relativeHeight="251849728" behindDoc="0" locked="0" layoutInCell="1" allowOverlap="1" wp14:anchorId="270C5DD1" wp14:editId="2077E136">
            <wp:simplePos x="0" y="0"/>
            <wp:positionH relativeFrom="column">
              <wp:posOffset>2454275</wp:posOffset>
            </wp:positionH>
            <wp:positionV relativeFrom="paragraph">
              <wp:posOffset>92075</wp:posOffset>
            </wp:positionV>
            <wp:extent cx="3493135" cy="2997835"/>
            <wp:effectExtent l="0" t="0" r="0" b="0"/>
            <wp:wrapNone/>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pic:cNvPicPr>
                      <a:picLocks noChangeAspect="1"/>
                    </pic:cNvPicPr>
                  </pic:nvPicPr>
                  <pic:blipFill>
                    <a:blip r:embed="rId19"/>
                    <a:stretch>
                      <a:fillRect/>
                    </a:stretch>
                  </pic:blipFill>
                  <pic:spPr>
                    <a:xfrm>
                      <a:off x="0" y="0"/>
                      <a:ext cx="3493135" cy="2997835"/>
                    </a:xfrm>
                    <a:prstGeom prst="rect">
                      <a:avLst/>
                    </a:prstGeom>
                    <a:noFill/>
                    <a:ln>
                      <a:noFill/>
                    </a:ln>
                  </pic:spPr>
                </pic:pic>
              </a:graphicData>
            </a:graphic>
          </wp:anchor>
        </w:drawing>
      </w:r>
      <w:r>
        <w:rPr>
          <w:noProof/>
        </w:rPr>
        <w:drawing>
          <wp:anchor distT="0" distB="0" distL="114935" distR="114935" simplePos="0" relativeHeight="251848704" behindDoc="0" locked="0" layoutInCell="1" allowOverlap="1" wp14:anchorId="320796A1" wp14:editId="682A794D">
            <wp:simplePos x="0" y="0"/>
            <wp:positionH relativeFrom="column">
              <wp:posOffset>-686435</wp:posOffset>
            </wp:positionH>
            <wp:positionV relativeFrom="paragraph">
              <wp:posOffset>105410</wp:posOffset>
            </wp:positionV>
            <wp:extent cx="3444875" cy="2997835"/>
            <wp:effectExtent l="0" t="0" r="0" b="0"/>
            <wp:wrapNone/>
            <wp:docPr id="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pic:cNvPicPr>
                      <a:picLocks noChangeAspect="1"/>
                    </pic:cNvPicPr>
                  </pic:nvPicPr>
                  <pic:blipFill>
                    <a:blip r:embed="rId20"/>
                    <a:stretch>
                      <a:fillRect/>
                    </a:stretch>
                  </pic:blipFill>
                  <pic:spPr>
                    <a:xfrm>
                      <a:off x="0" y="0"/>
                      <a:ext cx="3444875" cy="2997835"/>
                    </a:xfrm>
                    <a:prstGeom prst="rect">
                      <a:avLst/>
                    </a:prstGeom>
                    <a:noFill/>
                    <a:ln>
                      <a:noFill/>
                    </a:ln>
                  </pic:spPr>
                </pic:pic>
              </a:graphicData>
            </a:graphic>
          </wp:anchor>
        </w:drawing>
      </w:r>
    </w:p>
    <w:p w14:paraId="6996BCAE" w14:textId="77777777" w:rsidR="0059414D" w:rsidRDefault="0059414D">
      <w:pPr>
        <w:autoSpaceDE w:val="0"/>
        <w:autoSpaceDN w:val="0"/>
        <w:adjustRightInd w:val="0"/>
        <w:snapToGrid w:val="0"/>
        <w:spacing w:line="300" w:lineRule="auto"/>
        <w:ind w:firstLineChars="200" w:firstLine="420"/>
        <w:jc w:val="center"/>
        <w:rPr>
          <w:rStyle w:val="af0"/>
        </w:rPr>
      </w:pPr>
    </w:p>
    <w:p w14:paraId="56D15645" w14:textId="77777777" w:rsidR="0059414D" w:rsidRDefault="0059414D">
      <w:pPr>
        <w:autoSpaceDE w:val="0"/>
        <w:autoSpaceDN w:val="0"/>
        <w:adjustRightInd w:val="0"/>
        <w:snapToGrid w:val="0"/>
        <w:spacing w:line="300" w:lineRule="auto"/>
        <w:ind w:firstLineChars="200" w:firstLine="420"/>
        <w:jc w:val="center"/>
        <w:rPr>
          <w:rStyle w:val="af0"/>
        </w:rPr>
      </w:pPr>
    </w:p>
    <w:p w14:paraId="37E786F5" w14:textId="77777777" w:rsidR="0059414D" w:rsidRDefault="0059414D">
      <w:pPr>
        <w:autoSpaceDE w:val="0"/>
        <w:autoSpaceDN w:val="0"/>
        <w:adjustRightInd w:val="0"/>
        <w:snapToGrid w:val="0"/>
        <w:spacing w:line="300" w:lineRule="auto"/>
        <w:ind w:firstLineChars="200" w:firstLine="420"/>
        <w:jc w:val="center"/>
        <w:rPr>
          <w:rStyle w:val="af0"/>
        </w:rPr>
      </w:pPr>
    </w:p>
    <w:p w14:paraId="48314270" w14:textId="77777777" w:rsidR="0059414D" w:rsidRDefault="0059414D">
      <w:pPr>
        <w:autoSpaceDE w:val="0"/>
        <w:autoSpaceDN w:val="0"/>
        <w:adjustRightInd w:val="0"/>
        <w:snapToGrid w:val="0"/>
        <w:spacing w:line="300" w:lineRule="auto"/>
        <w:ind w:firstLineChars="200" w:firstLine="420"/>
        <w:jc w:val="center"/>
        <w:rPr>
          <w:rStyle w:val="af0"/>
        </w:rPr>
      </w:pPr>
    </w:p>
    <w:p w14:paraId="24CEAFEF"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28403739"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42933F8D"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25F9E6C1"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7F164E7B"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15CDB2C2"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F4F6983"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748F806E"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403F04DB"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4CAA1A01" w14:textId="77777777" w:rsidR="00E616C0" w:rsidRDefault="00E616C0">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34B4670A" w14:textId="77777777" w:rsidR="00E616C0" w:rsidRDefault="00E616C0">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7E1B9D6"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79A2F9FD" w14:textId="77777777" w:rsidR="0059414D" w:rsidRDefault="0051453F">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r>
        <w:rPr>
          <w:noProof/>
        </w:rPr>
        <w:lastRenderedPageBreak/>
        <w:drawing>
          <wp:anchor distT="0" distB="0" distL="114935" distR="114935" simplePos="0" relativeHeight="251851776" behindDoc="0" locked="0" layoutInCell="1" allowOverlap="1" wp14:anchorId="407C5E82" wp14:editId="7E426B67">
            <wp:simplePos x="0" y="0"/>
            <wp:positionH relativeFrom="column">
              <wp:posOffset>2298065</wp:posOffset>
            </wp:positionH>
            <wp:positionV relativeFrom="paragraph">
              <wp:posOffset>-162560</wp:posOffset>
            </wp:positionV>
            <wp:extent cx="3338195" cy="2997835"/>
            <wp:effectExtent l="0" t="0" r="0" b="0"/>
            <wp:wrapNone/>
            <wp:docPr id="2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8"/>
                    <pic:cNvPicPr>
                      <a:picLocks noChangeAspect="1"/>
                    </pic:cNvPicPr>
                  </pic:nvPicPr>
                  <pic:blipFill>
                    <a:blip r:embed="rId21"/>
                    <a:stretch>
                      <a:fillRect/>
                    </a:stretch>
                  </pic:blipFill>
                  <pic:spPr>
                    <a:xfrm>
                      <a:off x="0" y="0"/>
                      <a:ext cx="3338195" cy="2997835"/>
                    </a:xfrm>
                    <a:prstGeom prst="rect">
                      <a:avLst/>
                    </a:prstGeom>
                    <a:noFill/>
                    <a:ln>
                      <a:noFill/>
                    </a:ln>
                  </pic:spPr>
                </pic:pic>
              </a:graphicData>
            </a:graphic>
          </wp:anchor>
        </w:drawing>
      </w:r>
      <w:r>
        <w:rPr>
          <w:noProof/>
        </w:rPr>
        <w:drawing>
          <wp:anchor distT="0" distB="0" distL="114935" distR="114935" simplePos="0" relativeHeight="251850752" behindDoc="0" locked="0" layoutInCell="1" allowOverlap="1" wp14:anchorId="551F47E0" wp14:editId="2C154726">
            <wp:simplePos x="0" y="0"/>
            <wp:positionH relativeFrom="column">
              <wp:posOffset>-524510</wp:posOffset>
            </wp:positionH>
            <wp:positionV relativeFrom="paragraph">
              <wp:posOffset>-153670</wp:posOffset>
            </wp:positionV>
            <wp:extent cx="3316605" cy="2997835"/>
            <wp:effectExtent l="0" t="0" r="0" b="0"/>
            <wp:wrapNone/>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pic:cNvPicPr>
                      <a:picLocks noChangeAspect="1"/>
                    </pic:cNvPicPr>
                  </pic:nvPicPr>
                  <pic:blipFill>
                    <a:blip r:embed="rId22"/>
                    <a:stretch>
                      <a:fillRect/>
                    </a:stretch>
                  </pic:blipFill>
                  <pic:spPr>
                    <a:xfrm>
                      <a:off x="0" y="0"/>
                      <a:ext cx="3316605" cy="2997835"/>
                    </a:xfrm>
                    <a:prstGeom prst="rect">
                      <a:avLst/>
                    </a:prstGeom>
                    <a:noFill/>
                    <a:ln>
                      <a:noFill/>
                    </a:ln>
                  </pic:spPr>
                </pic:pic>
              </a:graphicData>
            </a:graphic>
          </wp:anchor>
        </w:drawing>
      </w:r>
    </w:p>
    <w:p w14:paraId="7C5D6866"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267B1D3F"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5C1DCE08"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7E75E211"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B6EAC3A"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2FD1DEE6"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2160EF61"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1ECC1D34"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178919E0"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1B272E2"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35EDE6AC"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2B73287"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491A0796" w14:textId="77777777" w:rsidR="0059414D" w:rsidRDefault="0051453F">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r>
        <w:rPr>
          <w:noProof/>
        </w:rPr>
        <w:drawing>
          <wp:anchor distT="0" distB="0" distL="114935" distR="114935" simplePos="0" relativeHeight="251853824" behindDoc="0" locked="0" layoutInCell="1" allowOverlap="1" wp14:anchorId="4757506D" wp14:editId="7BB53458">
            <wp:simplePos x="0" y="0"/>
            <wp:positionH relativeFrom="column">
              <wp:posOffset>2341245</wp:posOffset>
            </wp:positionH>
            <wp:positionV relativeFrom="paragraph">
              <wp:posOffset>74295</wp:posOffset>
            </wp:positionV>
            <wp:extent cx="3473450" cy="2997835"/>
            <wp:effectExtent l="0" t="0" r="0" b="0"/>
            <wp:wrapNone/>
            <wp:docPr id="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0"/>
                    <pic:cNvPicPr>
                      <a:picLocks noChangeAspect="1"/>
                    </pic:cNvPicPr>
                  </pic:nvPicPr>
                  <pic:blipFill>
                    <a:blip r:embed="rId23"/>
                    <a:stretch>
                      <a:fillRect/>
                    </a:stretch>
                  </pic:blipFill>
                  <pic:spPr>
                    <a:xfrm>
                      <a:off x="0" y="0"/>
                      <a:ext cx="3473450" cy="2997835"/>
                    </a:xfrm>
                    <a:prstGeom prst="rect">
                      <a:avLst/>
                    </a:prstGeom>
                    <a:noFill/>
                    <a:ln>
                      <a:noFill/>
                    </a:ln>
                  </pic:spPr>
                </pic:pic>
              </a:graphicData>
            </a:graphic>
          </wp:anchor>
        </w:drawing>
      </w:r>
      <w:r>
        <w:rPr>
          <w:noProof/>
        </w:rPr>
        <w:drawing>
          <wp:anchor distT="0" distB="0" distL="114935" distR="114935" simplePos="0" relativeHeight="251852800" behindDoc="0" locked="0" layoutInCell="1" allowOverlap="1" wp14:anchorId="71A6107F" wp14:editId="0AD3D426">
            <wp:simplePos x="0" y="0"/>
            <wp:positionH relativeFrom="column">
              <wp:posOffset>-636905</wp:posOffset>
            </wp:positionH>
            <wp:positionV relativeFrom="paragraph">
              <wp:posOffset>118110</wp:posOffset>
            </wp:positionV>
            <wp:extent cx="3627755" cy="2997835"/>
            <wp:effectExtent l="0" t="0" r="0" b="0"/>
            <wp:wrapNone/>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24"/>
                    <a:stretch>
                      <a:fillRect/>
                    </a:stretch>
                  </pic:blipFill>
                  <pic:spPr>
                    <a:xfrm>
                      <a:off x="0" y="0"/>
                      <a:ext cx="3627755" cy="2997835"/>
                    </a:xfrm>
                    <a:prstGeom prst="rect">
                      <a:avLst/>
                    </a:prstGeom>
                    <a:noFill/>
                    <a:ln>
                      <a:noFill/>
                    </a:ln>
                  </pic:spPr>
                </pic:pic>
              </a:graphicData>
            </a:graphic>
          </wp:anchor>
        </w:drawing>
      </w:r>
    </w:p>
    <w:p w14:paraId="06A1D539"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97D9A04"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328A48AC"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7E12B151"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2E297187"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6F520B0"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4F3AED9"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13876312"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4BF071C5"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6249704D"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36661CBB"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668F4D9"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0385E42E"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428F66CB"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1267486D" w14:textId="77777777" w:rsidR="0059414D" w:rsidRDefault="0059414D">
      <w:pPr>
        <w:autoSpaceDE w:val="0"/>
        <w:autoSpaceDN w:val="0"/>
        <w:adjustRightInd w:val="0"/>
        <w:snapToGrid w:val="0"/>
        <w:spacing w:line="300" w:lineRule="auto"/>
        <w:ind w:firstLineChars="200" w:firstLine="420"/>
        <w:jc w:val="left"/>
        <w:rPr>
          <w:rFonts w:ascii="Times New Roman" w:eastAsia="宋体" w:hAnsi="Times New Roman" w:cs="Times New Roman"/>
          <w:kern w:val="0"/>
        </w:rPr>
      </w:pPr>
    </w:p>
    <w:p w14:paraId="1F522670" w14:textId="77777777" w:rsidR="00E616C0" w:rsidRDefault="00E616C0" w:rsidP="00E616C0">
      <w:pPr>
        <w:autoSpaceDE w:val="0"/>
        <w:autoSpaceDN w:val="0"/>
        <w:adjustRightInd w:val="0"/>
        <w:snapToGrid w:val="0"/>
        <w:spacing w:line="300" w:lineRule="auto"/>
        <w:ind w:firstLineChars="200" w:firstLine="420"/>
        <w:jc w:val="center"/>
        <w:rPr>
          <w:rFonts w:ascii="Times New Roman" w:eastAsia="宋体" w:hAnsi="Times New Roman" w:cs="Times New Roman"/>
          <w:kern w:val="0"/>
        </w:rPr>
      </w:pPr>
      <w:r>
        <w:rPr>
          <w:rFonts w:ascii="Times New Roman" w:eastAsia="宋体" w:hAnsi="Times New Roman" w:cs="Times New Roman" w:hint="eastAsia"/>
          <w:kern w:val="0"/>
          <w:szCs w:val="21"/>
        </w:rPr>
        <w:t>图</w:t>
      </w:r>
      <w:r>
        <w:rPr>
          <w:rFonts w:ascii="Times New Roman" w:eastAsia="宋体" w:hAnsi="Times New Roman" w:cs="Times New Roman" w:hint="eastAsia"/>
          <w:kern w:val="0"/>
          <w:szCs w:val="21"/>
        </w:rPr>
        <w:t xml:space="preserve">8 </w:t>
      </w:r>
      <w:r>
        <w:rPr>
          <w:rFonts w:ascii="Times New Roman" w:eastAsia="宋体" w:hAnsi="Times New Roman" w:cs="Times New Roman" w:hint="eastAsia"/>
          <w:kern w:val="0"/>
          <w:szCs w:val="21"/>
        </w:rPr>
        <w:t>不同产地腐植酸红外图谱</w:t>
      </w:r>
    </w:p>
    <w:p w14:paraId="2D9949F1" w14:textId="77777777" w:rsidR="0059414D" w:rsidRDefault="0051453F" w:rsidP="00E616C0">
      <w:pPr>
        <w:autoSpaceDE w:val="0"/>
        <w:autoSpaceDN w:val="0"/>
        <w:adjustRightInd w:val="0"/>
        <w:snapToGrid w:val="0"/>
        <w:spacing w:line="300" w:lineRule="auto"/>
        <w:ind w:firstLineChars="200" w:firstLine="420"/>
        <w:rPr>
          <w:rFonts w:ascii="Times New Roman" w:eastAsia="宋体" w:hAnsi="Times New Roman" w:cs="Times New Roman"/>
          <w:kern w:val="0"/>
        </w:rPr>
      </w:pPr>
      <w:r>
        <w:rPr>
          <w:rFonts w:ascii="Times New Roman" w:eastAsia="宋体" w:hAnsi="Times New Roman" w:cs="Times New Roman" w:hint="eastAsia"/>
          <w:kern w:val="0"/>
        </w:rPr>
        <w:t>由图</w:t>
      </w:r>
      <w:r>
        <w:rPr>
          <w:rFonts w:ascii="Times New Roman" w:eastAsia="宋体" w:hAnsi="Times New Roman" w:cs="Times New Roman" w:hint="eastAsia"/>
          <w:kern w:val="0"/>
        </w:rPr>
        <w:t>8</w:t>
      </w:r>
      <w:r>
        <w:rPr>
          <w:rFonts w:ascii="Times New Roman" w:eastAsia="宋体" w:hAnsi="Times New Roman" w:cs="Times New Roman" w:hint="eastAsia"/>
          <w:kern w:val="0"/>
        </w:rPr>
        <w:t>可以看出，所有腐植酸均具有相似的主要红外光谱吸收峰，主要有（</w:t>
      </w:r>
      <w:r>
        <w:rPr>
          <w:rFonts w:ascii="Times New Roman" w:eastAsia="宋体" w:hAnsi="Times New Roman" w:cs="Times New Roman" w:hint="eastAsia"/>
          <w:kern w:val="0"/>
        </w:rPr>
        <w:t>1</w:t>
      </w:r>
      <w:r>
        <w:rPr>
          <w:rFonts w:ascii="Times New Roman" w:eastAsia="宋体" w:hAnsi="Times New Roman" w:cs="Times New Roman" w:hint="eastAsia"/>
          <w:kern w:val="0"/>
        </w:rPr>
        <w:t>）</w:t>
      </w:r>
      <w:r>
        <w:rPr>
          <w:rFonts w:ascii="Times New Roman" w:eastAsia="宋体" w:hAnsi="Times New Roman" w:cs="Times New Roman" w:hint="eastAsia"/>
          <w:kern w:val="0"/>
        </w:rPr>
        <w:t xml:space="preserve">3427 </w:t>
      </w:r>
      <w:bookmarkStart w:id="17" w:name="_Hlk496900838"/>
      <w:r>
        <w:rPr>
          <w:rFonts w:ascii="Times New Roman" w:eastAsia="宋体" w:hAnsi="Times New Roman" w:cs="Times New Roman" w:hint="eastAsia"/>
          <w:kern w:val="0"/>
        </w:rPr>
        <w:t>cm</w:t>
      </w:r>
      <w:r>
        <w:rPr>
          <w:rFonts w:ascii="Times New Roman" w:eastAsia="宋体" w:hAnsi="Times New Roman" w:cs="Times New Roman" w:hint="eastAsia"/>
          <w:kern w:val="0"/>
          <w:vertAlign w:val="superscript"/>
        </w:rPr>
        <w:t>-1</w:t>
      </w:r>
      <w:bookmarkEnd w:id="17"/>
      <w:r>
        <w:rPr>
          <w:rFonts w:ascii="Times New Roman" w:eastAsia="宋体" w:hAnsi="Times New Roman" w:cs="Times New Roman" w:hint="eastAsia"/>
          <w:kern w:val="0"/>
        </w:rPr>
        <w:t>：由芳香环中的</w:t>
      </w:r>
      <w:r>
        <w:rPr>
          <w:rFonts w:ascii="Times New Roman" w:eastAsia="宋体" w:hAnsi="Times New Roman" w:cs="Times New Roman" w:hint="eastAsia"/>
          <w:kern w:val="0"/>
        </w:rPr>
        <w:t>C = C</w:t>
      </w:r>
      <w:r>
        <w:rPr>
          <w:rFonts w:ascii="Times New Roman" w:eastAsia="宋体" w:hAnsi="Times New Roman" w:cs="Times New Roman" w:hint="eastAsia"/>
          <w:kern w:val="0"/>
        </w:rPr>
        <w:t>伸缩和在醇和酚中的</w:t>
      </w:r>
      <w:r>
        <w:rPr>
          <w:rFonts w:ascii="Times New Roman" w:eastAsia="宋体" w:hAnsi="Times New Roman" w:cs="Times New Roman" w:hint="eastAsia"/>
          <w:kern w:val="0"/>
        </w:rPr>
        <w:t>O-H</w:t>
      </w:r>
      <w:r>
        <w:rPr>
          <w:rFonts w:ascii="Times New Roman" w:eastAsia="宋体" w:hAnsi="Times New Roman" w:cs="Times New Roman" w:hint="eastAsia"/>
          <w:kern w:val="0"/>
        </w:rPr>
        <w:t>伸缩引起的在</w:t>
      </w:r>
      <w:r>
        <w:rPr>
          <w:rFonts w:ascii="Times New Roman" w:eastAsia="宋体" w:hAnsi="Times New Roman" w:cs="Times New Roman" w:hint="eastAsia"/>
          <w:kern w:val="0"/>
        </w:rPr>
        <w:t>3500-3400</w:t>
      </w:r>
      <w:bookmarkStart w:id="18" w:name="_Hlk496899761"/>
      <w:r>
        <w:rPr>
          <w:rFonts w:ascii="Times New Roman" w:eastAsia="宋体" w:hAnsi="Times New Roman" w:cs="Times New Roman" w:hint="eastAsia"/>
          <w:kern w:val="0"/>
        </w:rPr>
        <w:t xml:space="preserve"> cm</w:t>
      </w:r>
      <w:r>
        <w:rPr>
          <w:rFonts w:ascii="Times New Roman" w:eastAsia="宋体" w:hAnsi="Times New Roman" w:cs="Times New Roman" w:hint="eastAsia"/>
          <w:kern w:val="0"/>
          <w:vertAlign w:val="superscript"/>
        </w:rPr>
        <w:t>-1</w:t>
      </w:r>
      <w:bookmarkEnd w:id="18"/>
      <w:r>
        <w:rPr>
          <w:rFonts w:ascii="Times New Roman" w:eastAsia="宋体" w:hAnsi="Times New Roman" w:cs="Times New Roman" w:hint="eastAsia"/>
          <w:kern w:val="0"/>
        </w:rPr>
        <w:t>处的宽吸收峰。（</w:t>
      </w:r>
      <w:r>
        <w:rPr>
          <w:rFonts w:ascii="Times New Roman" w:eastAsia="宋体" w:hAnsi="Times New Roman" w:cs="Times New Roman" w:hint="eastAsia"/>
          <w:kern w:val="0"/>
        </w:rPr>
        <w:t>2</w:t>
      </w:r>
      <w:r>
        <w:rPr>
          <w:rFonts w:ascii="Times New Roman" w:eastAsia="宋体" w:hAnsi="Times New Roman" w:cs="Times New Roman" w:hint="eastAsia"/>
          <w:kern w:val="0"/>
        </w:rPr>
        <w:t>）</w:t>
      </w:r>
      <w:r>
        <w:rPr>
          <w:rFonts w:ascii="Times New Roman" w:eastAsia="宋体" w:hAnsi="Times New Roman" w:cs="Times New Roman" w:hint="eastAsia"/>
          <w:kern w:val="0"/>
        </w:rPr>
        <w:t>1580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w:t>
      </w:r>
      <w:r>
        <w:rPr>
          <w:rFonts w:ascii="Times New Roman" w:eastAsia="宋体" w:hAnsi="Times New Roman" w:cs="Times New Roman" w:hint="eastAsia"/>
          <w:kern w:val="0"/>
        </w:rPr>
        <w:t>COO-</w:t>
      </w:r>
      <w:r>
        <w:rPr>
          <w:rFonts w:ascii="Times New Roman" w:eastAsia="宋体" w:hAnsi="Times New Roman" w:cs="Times New Roman" w:hint="eastAsia"/>
          <w:kern w:val="0"/>
        </w:rPr>
        <w:t>对称伸缩，</w:t>
      </w:r>
      <w:r>
        <w:rPr>
          <w:rFonts w:ascii="Times New Roman" w:eastAsia="宋体" w:hAnsi="Times New Roman" w:cs="Times New Roman" w:hint="eastAsia"/>
          <w:kern w:val="0"/>
        </w:rPr>
        <w:t>N-H</w:t>
      </w:r>
      <w:r>
        <w:rPr>
          <w:rFonts w:ascii="Times New Roman" w:eastAsia="宋体" w:hAnsi="Times New Roman" w:cs="Times New Roman" w:hint="eastAsia"/>
          <w:kern w:val="0"/>
        </w:rPr>
        <w:t>变形和</w:t>
      </w:r>
      <w:r>
        <w:rPr>
          <w:rFonts w:ascii="Times New Roman" w:eastAsia="宋体" w:hAnsi="Times New Roman" w:cs="Times New Roman" w:hint="eastAsia"/>
          <w:kern w:val="0"/>
        </w:rPr>
        <w:t>C=N</w:t>
      </w:r>
      <w:r>
        <w:rPr>
          <w:rFonts w:ascii="Times New Roman" w:eastAsia="宋体" w:hAnsi="Times New Roman" w:cs="Times New Roman" w:hint="eastAsia"/>
          <w:kern w:val="0"/>
        </w:rPr>
        <w:t>伸缩（酰胺二带）。（</w:t>
      </w:r>
      <w:r>
        <w:rPr>
          <w:rFonts w:ascii="Times New Roman" w:eastAsia="宋体" w:hAnsi="Times New Roman" w:cs="Times New Roman" w:hint="eastAsia"/>
          <w:kern w:val="0"/>
        </w:rPr>
        <w:t>3</w:t>
      </w:r>
      <w:r>
        <w:rPr>
          <w:rFonts w:ascii="Times New Roman" w:eastAsia="宋体" w:hAnsi="Times New Roman" w:cs="Times New Roman" w:hint="eastAsia"/>
          <w:kern w:val="0"/>
        </w:rPr>
        <w:t>）</w:t>
      </w:r>
      <w:r>
        <w:rPr>
          <w:rFonts w:ascii="Times New Roman" w:eastAsia="宋体" w:hAnsi="Times New Roman" w:cs="Times New Roman" w:hint="eastAsia"/>
          <w:kern w:val="0"/>
        </w:rPr>
        <w:t>1382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：酚羟基的</w:t>
      </w:r>
      <w:r>
        <w:rPr>
          <w:rFonts w:ascii="Times New Roman" w:eastAsia="宋体" w:hAnsi="Times New Roman" w:cs="Times New Roman" w:hint="eastAsia"/>
          <w:kern w:val="0"/>
        </w:rPr>
        <w:t>OH</w:t>
      </w:r>
      <w:r>
        <w:rPr>
          <w:rFonts w:ascii="Times New Roman" w:eastAsia="宋体" w:hAnsi="Times New Roman" w:cs="Times New Roman" w:hint="eastAsia"/>
          <w:kern w:val="0"/>
        </w:rPr>
        <w:t>变形和</w:t>
      </w:r>
      <w:r>
        <w:rPr>
          <w:rFonts w:ascii="Times New Roman" w:eastAsia="宋体" w:hAnsi="Times New Roman" w:cs="Times New Roman" w:hint="eastAsia"/>
          <w:kern w:val="0"/>
        </w:rPr>
        <w:t>C-O</w:t>
      </w:r>
      <w:r>
        <w:rPr>
          <w:rFonts w:ascii="Times New Roman" w:eastAsia="宋体" w:hAnsi="Times New Roman" w:cs="Times New Roman" w:hint="eastAsia"/>
          <w:kern w:val="0"/>
        </w:rPr>
        <w:t>伸缩，</w:t>
      </w:r>
      <w:r>
        <w:rPr>
          <w:rFonts w:ascii="Times New Roman" w:eastAsia="宋体" w:hAnsi="Times New Roman" w:cs="Times New Roman" w:hint="eastAsia"/>
          <w:kern w:val="0"/>
        </w:rPr>
        <w:t>CH</w:t>
      </w:r>
      <w:r>
        <w:rPr>
          <w:rFonts w:ascii="Times New Roman" w:eastAsia="宋体" w:hAnsi="Times New Roman" w:cs="Times New Roman" w:hint="eastAsia"/>
          <w:kern w:val="0"/>
          <w:vertAlign w:val="subscript"/>
        </w:rPr>
        <w:t>2</w:t>
      </w:r>
      <w:r>
        <w:rPr>
          <w:rFonts w:ascii="Times New Roman" w:eastAsia="宋体" w:hAnsi="Times New Roman" w:cs="Times New Roman" w:hint="eastAsia"/>
          <w:kern w:val="0"/>
        </w:rPr>
        <w:t>和</w:t>
      </w:r>
      <w:r>
        <w:rPr>
          <w:rFonts w:ascii="Times New Roman" w:eastAsia="宋体" w:hAnsi="Times New Roman" w:cs="Times New Roman" w:hint="eastAsia"/>
          <w:kern w:val="0"/>
        </w:rPr>
        <w:t>CH</w:t>
      </w:r>
      <w:r>
        <w:rPr>
          <w:rFonts w:ascii="Times New Roman" w:eastAsia="宋体" w:hAnsi="Times New Roman" w:cs="Times New Roman" w:hint="eastAsia"/>
          <w:kern w:val="0"/>
          <w:vertAlign w:val="subscript"/>
        </w:rPr>
        <w:t>3</w:t>
      </w:r>
      <w:r>
        <w:rPr>
          <w:rFonts w:ascii="Times New Roman" w:eastAsia="宋体" w:hAnsi="Times New Roman" w:cs="Times New Roman" w:hint="eastAsia"/>
          <w:kern w:val="0"/>
        </w:rPr>
        <w:t>基</w:t>
      </w:r>
      <w:r>
        <w:rPr>
          <w:rFonts w:ascii="Times New Roman" w:eastAsia="宋体" w:hAnsi="Times New Roman" w:cs="Times New Roman" w:hint="eastAsia"/>
          <w:kern w:val="0"/>
        </w:rPr>
        <w:t>C-H</w:t>
      </w:r>
      <w:r>
        <w:rPr>
          <w:rFonts w:ascii="Times New Roman" w:eastAsia="宋体" w:hAnsi="Times New Roman" w:cs="Times New Roman" w:hint="eastAsia"/>
          <w:kern w:val="0"/>
        </w:rPr>
        <w:t>变形，</w:t>
      </w:r>
      <w:r>
        <w:rPr>
          <w:rFonts w:ascii="Times New Roman" w:eastAsia="宋体" w:hAnsi="Times New Roman" w:cs="Times New Roman" w:hint="eastAsia"/>
          <w:kern w:val="0"/>
        </w:rPr>
        <w:t>COO-</w:t>
      </w:r>
      <w:r>
        <w:rPr>
          <w:rFonts w:ascii="Times New Roman" w:eastAsia="宋体" w:hAnsi="Times New Roman" w:cs="Times New Roman" w:hint="eastAsia"/>
          <w:kern w:val="0"/>
        </w:rPr>
        <w:t>反对称伸缩。（</w:t>
      </w:r>
      <w:r>
        <w:rPr>
          <w:rFonts w:ascii="Times New Roman" w:eastAsia="宋体" w:hAnsi="Times New Roman" w:cs="Times New Roman" w:hint="eastAsia"/>
          <w:kern w:val="0"/>
        </w:rPr>
        <w:t>4</w:t>
      </w:r>
      <w:r>
        <w:rPr>
          <w:rFonts w:ascii="Times New Roman" w:eastAsia="宋体" w:hAnsi="Times New Roman" w:cs="Times New Roman" w:hint="eastAsia"/>
          <w:kern w:val="0"/>
        </w:rPr>
        <w:t>）</w:t>
      </w:r>
      <w:r>
        <w:rPr>
          <w:rFonts w:ascii="Times New Roman" w:eastAsia="宋体" w:hAnsi="Times New Roman" w:cs="Times New Roman" w:hint="eastAsia"/>
          <w:kern w:val="0"/>
        </w:rPr>
        <w:t>1108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：饱和醚的</w:t>
      </w:r>
      <w:r>
        <w:rPr>
          <w:rFonts w:ascii="Times New Roman" w:eastAsia="宋体" w:hAnsi="Times New Roman" w:cs="Times New Roman" w:hint="eastAsia"/>
          <w:kern w:val="0"/>
        </w:rPr>
        <w:t>C-O</w:t>
      </w:r>
      <w:r>
        <w:rPr>
          <w:rFonts w:ascii="Times New Roman" w:eastAsia="宋体" w:hAnsi="Times New Roman" w:cs="Times New Roman" w:hint="eastAsia"/>
          <w:kern w:val="0"/>
        </w:rPr>
        <w:t>伸缩，多糖或类多糖物质的</w:t>
      </w:r>
      <w:r>
        <w:rPr>
          <w:rFonts w:ascii="Times New Roman" w:eastAsia="宋体" w:hAnsi="Times New Roman" w:cs="Times New Roman" w:hint="eastAsia"/>
          <w:kern w:val="0"/>
        </w:rPr>
        <w:t>C-O</w:t>
      </w:r>
      <w:r>
        <w:rPr>
          <w:rFonts w:ascii="Times New Roman" w:eastAsia="宋体" w:hAnsi="Times New Roman" w:cs="Times New Roman" w:hint="eastAsia"/>
          <w:kern w:val="0"/>
        </w:rPr>
        <w:t>伸缩，硅杂质的</w:t>
      </w:r>
      <w:r>
        <w:rPr>
          <w:rFonts w:ascii="Times New Roman" w:eastAsia="宋体" w:hAnsi="Times New Roman" w:cs="Times New Roman" w:hint="eastAsia"/>
          <w:kern w:val="0"/>
        </w:rPr>
        <w:t>Si-O</w:t>
      </w:r>
      <w:r>
        <w:rPr>
          <w:rFonts w:ascii="Times New Roman" w:eastAsia="宋体" w:hAnsi="Times New Roman" w:cs="Times New Roman" w:hint="eastAsia"/>
          <w:kern w:val="0"/>
        </w:rPr>
        <w:t>。（</w:t>
      </w:r>
      <w:r>
        <w:rPr>
          <w:rFonts w:ascii="Times New Roman" w:eastAsia="宋体" w:hAnsi="Times New Roman" w:cs="Times New Roman" w:hint="eastAsia"/>
          <w:kern w:val="0"/>
        </w:rPr>
        <w:t>5</w:t>
      </w:r>
      <w:r>
        <w:rPr>
          <w:rFonts w:ascii="Times New Roman" w:eastAsia="宋体" w:hAnsi="Times New Roman" w:cs="Times New Roman" w:hint="eastAsia"/>
          <w:kern w:val="0"/>
        </w:rPr>
        <w:t>）</w:t>
      </w:r>
      <w:r>
        <w:rPr>
          <w:rFonts w:ascii="Times New Roman" w:eastAsia="宋体" w:hAnsi="Times New Roman" w:cs="Times New Roman" w:hint="eastAsia"/>
          <w:kern w:val="0"/>
        </w:rPr>
        <w:t>619 cm</w:t>
      </w:r>
      <w:r>
        <w:rPr>
          <w:rFonts w:ascii="Times New Roman" w:eastAsia="宋体" w:hAnsi="Times New Roman" w:cs="Times New Roman" w:hint="eastAsia"/>
          <w:kern w:val="0"/>
          <w:vertAlign w:val="superscript"/>
        </w:rPr>
        <w:t>-1</w:t>
      </w:r>
      <w:r>
        <w:rPr>
          <w:rFonts w:ascii="Times New Roman" w:eastAsia="宋体" w:hAnsi="Times New Roman" w:cs="Times New Roman" w:hint="eastAsia"/>
          <w:kern w:val="0"/>
        </w:rPr>
        <w:t>：</w:t>
      </w:r>
      <w:r>
        <w:rPr>
          <w:rFonts w:ascii="Times New Roman" w:eastAsia="宋体" w:hAnsi="Times New Roman" w:cs="Times New Roman" w:hint="eastAsia"/>
          <w:kern w:val="0"/>
        </w:rPr>
        <w:t>C-H</w:t>
      </w:r>
      <w:r>
        <w:rPr>
          <w:rFonts w:ascii="Times New Roman" w:eastAsia="宋体" w:hAnsi="Times New Roman" w:cs="Times New Roman" w:hint="eastAsia"/>
          <w:kern w:val="0"/>
        </w:rPr>
        <w:t>面外变形振动。因此，傅里叶红外光谱扫描可以定性鉴定腐植酸产品。</w:t>
      </w:r>
    </w:p>
    <w:p w14:paraId="6CB65F51"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四、采用标准情况</w:t>
      </w:r>
    </w:p>
    <w:p w14:paraId="2B738C2E" w14:textId="77777777" w:rsidR="0059414D" w:rsidRDefault="0051453F" w:rsidP="00E616C0">
      <w:pPr>
        <w:pStyle w:val="af1"/>
        <w:snapToGrid w:val="0"/>
        <w:spacing w:line="300" w:lineRule="auto"/>
        <w:rPr>
          <w:rFonts w:ascii="Times New Roman"/>
        </w:rPr>
      </w:pPr>
      <w:r>
        <w:rPr>
          <w:rFonts w:ascii="Times New Roman" w:hint="eastAsia"/>
        </w:rPr>
        <w:t>目前腐植酸测定方较多，主要有容量法和重量法。腐植酸测定参照</w:t>
      </w:r>
      <w:r>
        <w:rPr>
          <w:rFonts w:ascii="Times New Roman" w:hint="eastAsia"/>
          <w:szCs w:val="22"/>
        </w:rPr>
        <w:t>NY/T 1971</w:t>
      </w:r>
      <w:r>
        <w:rPr>
          <w:rFonts w:ascii="Times New Roman" w:hint="eastAsia"/>
          <w:szCs w:val="22"/>
        </w:rPr>
        <w:t>《水溶肥料</w:t>
      </w:r>
      <w:r>
        <w:rPr>
          <w:rFonts w:ascii="Times New Roman" w:hint="eastAsia"/>
          <w:szCs w:val="22"/>
        </w:rPr>
        <w:t xml:space="preserve"> </w:t>
      </w:r>
      <w:r>
        <w:rPr>
          <w:rFonts w:ascii="Times New Roman" w:hint="eastAsia"/>
          <w:szCs w:val="22"/>
        </w:rPr>
        <w:t>腐植酸含量的测定》，活化腐植酸指数在</w:t>
      </w:r>
      <w:r>
        <w:rPr>
          <w:rFonts w:ascii="Times New Roman" w:hint="eastAsia"/>
          <w:szCs w:val="22"/>
        </w:rPr>
        <w:t>NY/T 1971</w:t>
      </w:r>
      <w:r>
        <w:rPr>
          <w:rFonts w:ascii="Times New Roman" w:hint="eastAsia"/>
          <w:szCs w:val="22"/>
        </w:rPr>
        <w:t>《水溶肥料</w:t>
      </w:r>
      <w:r>
        <w:rPr>
          <w:rFonts w:ascii="Times New Roman" w:hint="eastAsia"/>
          <w:szCs w:val="22"/>
        </w:rPr>
        <w:t xml:space="preserve"> </w:t>
      </w:r>
      <w:r>
        <w:rPr>
          <w:rFonts w:ascii="Times New Roman" w:hint="eastAsia"/>
          <w:szCs w:val="22"/>
        </w:rPr>
        <w:t>腐植酸含量的测定》基础上，对试验条件进行修改，并做了相关的效果验证试验，一定程度上能反映腐植酸的分子量大小和</w:t>
      </w:r>
      <w:r w:rsidR="00E616C0">
        <w:rPr>
          <w:rFonts w:ascii="Times New Roman" w:hint="eastAsia"/>
          <w:szCs w:val="22"/>
        </w:rPr>
        <w:t>活性</w:t>
      </w:r>
      <w:r>
        <w:rPr>
          <w:rFonts w:ascii="Times New Roman" w:hint="eastAsia"/>
          <w:szCs w:val="22"/>
        </w:rPr>
        <w:t>。</w:t>
      </w:r>
      <w:r>
        <w:rPr>
          <w:rFonts w:ascii="Times New Roman" w:hint="eastAsia"/>
        </w:rPr>
        <w:t>在水分测定参照</w:t>
      </w:r>
      <w:r w:rsidR="00280BD3">
        <w:rPr>
          <w:rFonts w:ascii="Times New Roman" w:hint="eastAsia"/>
        </w:rPr>
        <w:t>GB/T8576</w:t>
      </w:r>
      <w:r>
        <w:rPr>
          <w:rFonts w:ascii="Times New Roman" w:hint="eastAsia"/>
        </w:rPr>
        <w:t>，水不溶物、</w:t>
      </w:r>
      <w:r>
        <w:rPr>
          <w:rFonts w:ascii="Times New Roman" w:hint="eastAsia"/>
        </w:rPr>
        <w:t>pH</w:t>
      </w:r>
      <w:r>
        <w:rPr>
          <w:rFonts w:ascii="Times New Roman" w:hint="eastAsia"/>
        </w:rPr>
        <w:t>测定参照</w:t>
      </w:r>
      <w:r>
        <w:rPr>
          <w:rFonts w:ascii="Times New Roman" w:hint="eastAsia"/>
          <w:szCs w:val="22"/>
        </w:rPr>
        <w:t>NY/T 1973</w:t>
      </w:r>
      <w:r>
        <w:rPr>
          <w:rFonts w:ascii="Times New Roman" w:hint="eastAsia"/>
          <w:szCs w:val="22"/>
        </w:rPr>
        <w:t>《水溶肥料</w:t>
      </w:r>
      <w:r>
        <w:rPr>
          <w:rFonts w:ascii="Times New Roman" w:hint="eastAsia"/>
          <w:szCs w:val="22"/>
        </w:rPr>
        <w:t xml:space="preserve"> </w:t>
      </w:r>
      <w:r>
        <w:rPr>
          <w:rFonts w:ascii="Times New Roman" w:hint="eastAsia"/>
          <w:szCs w:val="22"/>
        </w:rPr>
        <w:t>水不溶物含量和</w:t>
      </w:r>
      <w:r>
        <w:rPr>
          <w:rFonts w:ascii="Times New Roman" w:hint="eastAsia"/>
          <w:szCs w:val="22"/>
        </w:rPr>
        <w:t>pH</w:t>
      </w:r>
      <w:r>
        <w:rPr>
          <w:rFonts w:ascii="Times New Roman" w:hint="eastAsia"/>
          <w:szCs w:val="22"/>
        </w:rPr>
        <w:t>的测定》，</w:t>
      </w:r>
      <w:r>
        <w:rPr>
          <w:rFonts w:ascii="Times New Roman" w:hint="eastAsia"/>
        </w:rPr>
        <w:t>粘度参照</w:t>
      </w:r>
      <w:r>
        <w:rPr>
          <w:rFonts w:ascii="Times New Roman" w:hint="eastAsia"/>
          <w:szCs w:val="22"/>
        </w:rPr>
        <w:t>GB/T 10247</w:t>
      </w:r>
      <w:r>
        <w:rPr>
          <w:rFonts w:ascii="Times New Roman" w:hint="eastAsia"/>
          <w:szCs w:val="22"/>
        </w:rPr>
        <w:t>《粘度测量方法》，</w:t>
      </w:r>
      <w:r>
        <w:rPr>
          <w:rFonts w:ascii="Times New Roman"/>
        </w:rPr>
        <w:t>检验规则，标识，包装、运输和贮存等要求采用了现行的国家标准中的相关规定。</w:t>
      </w:r>
    </w:p>
    <w:p w14:paraId="0AD58DF7" w14:textId="77777777" w:rsidR="005B7FE6" w:rsidRDefault="005B7FE6" w:rsidP="00E616C0">
      <w:pPr>
        <w:pStyle w:val="af1"/>
        <w:snapToGrid w:val="0"/>
        <w:spacing w:line="300" w:lineRule="auto"/>
        <w:rPr>
          <w:rFonts w:ascii="Times New Roman"/>
        </w:rPr>
      </w:pPr>
    </w:p>
    <w:p w14:paraId="3DB3FA9F"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lastRenderedPageBreak/>
        <w:t>五、与有关的现行法律、法规和强制性国家标准的关系</w:t>
      </w:r>
    </w:p>
    <w:p w14:paraId="3CA280F3" w14:textId="77777777" w:rsidR="0059414D" w:rsidRDefault="0051453F">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color w:val="000000" w:themeColor="text1"/>
        </w:rPr>
        <w:t>目前没有</w:t>
      </w:r>
      <w:r w:rsidR="00E616C0">
        <w:rPr>
          <w:rFonts w:ascii="Times New Roman" w:hAnsi="Times New Roman" w:cs="Times New Roman" w:hint="eastAsia"/>
          <w:color w:val="000000" w:themeColor="text1"/>
        </w:rPr>
        <w:t>《肥料增效剂</w:t>
      </w:r>
      <w:r w:rsidR="00E616C0">
        <w:rPr>
          <w:rFonts w:ascii="Times New Roman" w:hAnsi="Times New Roman" w:cs="Times New Roman" w:hint="eastAsia"/>
          <w:color w:val="000000" w:themeColor="text1"/>
        </w:rPr>
        <w:t xml:space="preserve"> </w:t>
      </w:r>
      <w:r w:rsidR="00E616C0">
        <w:rPr>
          <w:rFonts w:ascii="Times New Roman" w:hAnsi="Times New Roman" w:cs="Times New Roman" w:hint="eastAsia"/>
          <w:color w:val="000000" w:themeColor="text1"/>
        </w:rPr>
        <w:t>腐植酸》</w:t>
      </w:r>
      <w:r>
        <w:rPr>
          <w:rFonts w:ascii="Times New Roman" w:hAnsi="Times New Roman" w:cs="Times New Roman" w:hint="eastAsia"/>
          <w:color w:val="000000" w:themeColor="text1"/>
        </w:rPr>
        <w:t>的相关</w:t>
      </w:r>
      <w:r w:rsidR="00E616C0">
        <w:rPr>
          <w:rFonts w:ascii="Times New Roman" w:hAnsi="Times New Roman" w:cs="Times New Roman" w:hint="eastAsia"/>
          <w:color w:val="000000" w:themeColor="text1"/>
        </w:rPr>
        <w:t>国家</w:t>
      </w:r>
      <w:r w:rsidR="00E616C0">
        <w:rPr>
          <w:rFonts w:ascii="Times New Roman" w:hAnsi="Times New Roman" w:cs="Times New Roman" w:hint="eastAsia"/>
          <w:color w:val="000000" w:themeColor="text1"/>
        </w:rPr>
        <w:t>/</w:t>
      </w:r>
      <w:r w:rsidR="00E616C0">
        <w:rPr>
          <w:rFonts w:ascii="Times New Roman" w:hAnsi="Times New Roman" w:cs="Times New Roman" w:hint="eastAsia"/>
          <w:color w:val="000000" w:themeColor="text1"/>
        </w:rPr>
        <w:t>行业</w:t>
      </w:r>
      <w:r>
        <w:rPr>
          <w:rFonts w:ascii="Times New Roman" w:hAnsi="Times New Roman" w:cs="Times New Roman" w:hint="eastAsia"/>
          <w:color w:val="000000" w:themeColor="text1"/>
        </w:rPr>
        <w:t>标准，本标准根据企业生产销售情况，确定了</w:t>
      </w:r>
      <w:r w:rsidR="00E616C0">
        <w:rPr>
          <w:rFonts w:ascii="Times New Roman" w:hAnsi="Times New Roman" w:cs="Times New Roman" w:hint="eastAsia"/>
        </w:rPr>
        <w:t>腐植酸剂型，增加了活性</w:t>
      </w:r>
      <w:r>
        <w:rPr>
          <w:rFonts w:ascii="Times New Roman" w:hAnsi="Times New Roman" w:cs="Times New Roman" w:hint="eastAsia"/>
        </w:rPr>
        <w:t>腐植酸指数和粘度</w:t>
      </w:r>
      <w:r>
        <w:rPr>
          <w:rFonts w:ascii="Times New Roman" w:hAnsi="Times New Roman" w:cs="Times New Roman"/>
        </w:rPr>
        <w:t>2</w:t>
      </w:r>
      <w:r w:rsidR="00E616C0">
        <w:rPr>
          <w:rFonts w:ascii="Times New Roman" w:hAnsi="Times New Roman" w:cs="Times New Roman"/>
        </w:rPr>
        <w:t>项指标作为评价</w:t>
      </w:r>
      <w:r w:rsidR="00E616C0">
        <w:rPr>
          <w:rFonts w:ascii="Times New Roman" w:hAnsi="Times New Roman" w:cs="Times New Roman" w:hint="eastAsia"/>
        </w:rPr>
        <w:t>《</w:t>
      </w:r>
      <w:r>
        <w:rPr>
          <w:rFonts w:ascii="Times New Roman" w:hAnsi="Times New Roman" w:cs="Times New Roman" w:hint="eastAsia"/>
        </w:rPr>
        <w:t>肥料增效剂</w:t>
      </w:r>
      <w:r>
        <w:rPr>
          <w:rFonts w:ascii="Times New Roman" w:hAnsi="Times New Roman" w:cs="Times New Roman" w:hint="eastAsia"/>
        </w:rPr>
        <w:t xml:space="preserve"> </w:t>
      </w:r>
      <w:r>
        <w:rPr>
          <w:rFonts w:ascii="Times New Roman" w:hAnsi="Times New Roman" w:cs="Times New Roman" w:hint="eastAsia"/>
        </w:rPr>
        <w:t>腐植酸</w:t>
      </w:r>
      <w:r w:rsidR="00E616C0">
        <w:rPr>
          <w:rFonts w:ascii="Times New Roman" w:hAnsi="Times New Roman" w:cs="Times New Roman" w:hint="eastAsia"/>
        </w:rPr>
        <w:t>》</w:t>
      </w:r>
      <w:r>
        <w:rPr>
          <w:rFonts w:ascii="Times New Roman" w:hAnsi="Times New Roman" w:cs="Times New Roman"/>
        </w:rPr>
        <w:t>主要指标，并确定了指标的具体检测方法。与现行的法律、法规没有矛盾。</w:t>
      </w:r>
    </w:p>
    <w:p w14:paraId="4139C64A" w14:textId="77777777" w:rsidR="0059414D" w:rsidRDefault="0051453F">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 xml:space="preserve">2015 </w:t>
      </w:r>
      <w:r>
        <w:rPr>
          <w:rFonts w:ascii="Times New Roman" w:hAnsi="Times New Roman" w:cs="Times New Roman" w:hint="eastAsia"/>
        </w:rPr>
        <w:t>年，农业部将在全国范围内实施化肥使用量零增长行动，力争到</w:t>
      </w:r>
      <w:r>
        <w:rPr>
          <w:rFonts w:ascii="Times New Roman" w:hAnsi="Times New Roman" w:cs="Times New Roman" w:hint="eastAsia"/>
        </w:rPr>
        <w:t xml:space="preserve"> 2020 </w:t>
      </w:r>
      <w:r>
        <w:rPr>
          <w:rFonts w:ascii="Times New Roman" w:hAnsi="Times New Roman" w:cs="Times New Roman" w:hint="eastAsia"/>
        </w:rPr>
        <w:t>年主要农作物化肥使用量实现零增长。</w:t>
      </w:r>
      <w:r>
        <w:rPr>
          <w:rFonts w:ascii="Times New Roman" w:hAnsi="Times New Roman" w:cs="Times New Roman" w:hint="eastAsia"/>
        </w:rPr>
        <w:t xml:space="preserve">2015 </w:t>
      </w:r>
      <w:r>
        <w:rPr>
          <w:rFonts w:ascii="Times New Roman" w:hAnsi="Times New Roman" w:cs="Times New Roman" w:hint="eastAsia"/>
        </w:rPr>
        <w:t>年</w:t>
      </w:r>
      <w:r>
        <w:rPr>
          <w:rFonts w:ascii="Times New Roman" w:hAnsi="Times New Roman" w:cs="Times New Roman" w:hint="eastAsia"/>
        </w:rPr>
        <w:t xml:space="preserve"> 3 </w:t>
      </w:r>
      <w:r>
        <w:rPr>
          <w:rFonts w:ascii="Times New Roman" w:hAnsi="Times New Roman" w:cs="Times New Roman" w:hint="eastAsia"/>
        </w:rPr>
        <w:t>月</w:t>
      </w:r>
      <w:r>
        <w:rPr>
          <w:rFonts w:ascii="Times New Roman" w:hAnsi="Times New Roman" w:cs="Times New Roman" w:hint="eastAsia"/>
        </w:rPr>
        <w:t xml:space="preserve"> 24 </w:t>
      </w:r>
      <w:r>
        <w:rPr>
          <w:rFonts w:ascii="Times New Roman" w:hAnsi="Times New Roman" w:cs="Times New Roman" w:hint="eastAsia"/>
        </w:rPr>
        <w:t>日，中央政治局审议通过《关于加快推进生态文明建设的意见》，强调加快推动生产方式绿色化，构建科技含量高、资源消耗低、环境污染少的产业结构和生产方式，大幅提高经济绿色化程度，加快发展绿色产业。《化肥工业“十二五”发展规划》的重点任务之一是加快结构调整，优化品种结构，明确提出：“改进提升尿素、磷铵、氯化钾和硫酸钾（镁）等基础肥料”。</w:t>
      </w:r>
      <w:r>
        <w:rPr>
          <w:rFonts w:ascii="Times New Roman" w:hAnsi="Times New Roman" w:cs="Times New Roman" w:hint="eastAsia"/>
        </w:rPr>
        <w:t xml:space="preserve"> </w:t>
      </w:r>
      <w:r>
        <w:rPr>
          <w:rFonts w:ascii="Times New Roman" w:hAnsi="Times New Roman" w:cs="Times New Roman" w:hint="eastAsia"/>
        </w:rPr>
        <w:t>为落实《中国制造</w:t>
      </w:r>
      <w:r>
        <w:rPr>
          <w:rFonts w:ascii="Times New Roman" w:hAnsi="Times New Roman" w:cs="Times New Roman" w:hint="eastAsia"/>
        </w:rPr>
        <w:t xml:space="preserve"> 2025</w:t>
      </w:r>
      <w:r>
        <w:rPr>
          <w:rFonts w:ascii="Times New Roman" w:hAnsi="Times New Roman" w:cs="Times New Roman" w:hint="eastAsia"/>
        </w:rPr>
        <w:t>》，工信部在促进化肥行业转型升级指导意见中将发展腐植酸、海藻酸等增值肥料列入其中。</w:t>
      </w:r>
      <w:r>
        <w:rPr>
          <w:rFonts w:ascii="Times New Roman" w:hAnsi="Times New Roman" w:cs="Times New Roman" w:hint="eastAsia"/>
        </w:rPr>
        <w:t xml:space="preserve">2015 </w:t>
      </w:r>
      <w:r>
        <w:rPr>
          <w:rFonts w:ascii="Times New Roman" w:hAnsi="Times New Roman" w:cs="Times New Roman" w:hint="eastAsia"/>
        </w:rPr>
        <w:t>年</w:t>
      </w:r>
      <w:r>
        <w:rPr>
          <w:rFonts w:ascii="Times New Roman" w:hAnsi="Times New Roman" w:cs="Times New Roman" w:hint="eastAsia"/>
        </w:rPr>
        <w:t xml:space="preserve"> 11 </w:t>
      </w:r>
      <w:r>
        <w:rPr>
          <w:rFonts w:ascii="Times New Roman" w:hAnsi="Times New Roman" w:cs="Times New Roman" w:hint="eastAsia"/>
        </w:rPr>
        <w:t>月，科技部启动“化学肥料和农药减施增效综合技术研发”重点专项，推动我国化肥增效减量。含腐植酸肥料也是十三五国家重点研发计划项目“新型复混肥料及水溶肥料研制（</w:t>
      </w:r>
      <w:r>
        <w:rPr>
          <w:rFonts w:ascii="Times New Roman" w:hAnsi="Times New Roman" w:cs="Times New Roman" w:hint="eastAsia"/>
        </w:rPr>
        <w:t>2016YFD0200400</w:t>
      </w:r>
      <w:r>
        <w:rPr>
          <w:rFonts w:ascii="Times New Roman" w:hAnsi="Times New Roman" w:cs="Times New Roman" w:hint="eastAsia"/>
        </w:rPr>
        <w:t>，</w:t>
      </w:r>
      <w:r>
        <w:rPr>
          <w:rFonts w:ascii="Times New Roman" w:hAnsi="Times New Roman" w:cs="Times New Roman" w:hint="eastAsia"/>
        </w:rPr>
        <w:t>2016-2020</w:t>
      </w:r>
      <w:r>
        <w:rPr>
          <w:rFonts w:ascii="Times New Roman" w:hAnsi="Times New Roman" w:cs="Times New Roman" w:hint="eastAsia"/>
        </w:rPr>
        <w:t>）”的重要产品之一。</w:t>
      </w:r>
    </w:p>
    <w:p w14:paraId="6078E0D1" w14:textId="77777777" w:rsidR="00280BD3" w:rsidRPr="00280BD3" w:rsidRDefault="00280BD3">
      <w:pPr>
        <w:adjustRightInd w:val="0"/>
        <w:snapToGrid w:val="0"/>
        <w:spacing w:line="300" w:lineRule="auto"/>
        <w:ind w:firstLineChars="200" w:firstLine="420"/>
        <w:rPr>
          <w:rFonts w:ascii="Times New Roman" w:hAnsi="Times New Roman" w:cs="Times New Roman"/>
        </w:rPr>
      </w:pPr>
      <w:r w:rsidRPr="00280BD3">
        <w:rPr>
          <w:rFonts w:ascii="Times New Roman" w:hAnsi="Times New Roman" w:cs="Times New Roman" w:hint="eastAsia"/>
        </w:rPr>
        <w:t>中共中央办公厅、国务院办公厅《关于创新体制机制推进农业绿色发展的意见》，大力推进生态文明建设，有力支撑农业绿色发展和农业农村现代化；农业农村部关于印发《农业绿色发展技术导则（</w:t>
      </w:r>
      <w:r w:rsidRPr="00280BD3">
        <w:rPr>
          <w:rFonts w:ascii="Times New Roman" w:hAnsi="Times New Roman" w:cs="Times New Roman" w:hint="eastAsia"/>
        </w:rPr>
        <w:t>2018-2030</w:t>
      </w:r>
      <w:r w:rsidRPr="00280BD3">
        <w:rPr>
          <w:rFonts w:ascii="Times New Roman" w:hAnsi="Times New Roman" w:cs="Times New Roman" w:hint="eastAsia"/>
        </w:rPr>
        <w:t>年）》，提出以支撑引领农业绿色发展为主线，以绿色投入品、节本增效技术、生态循环模式、绿色标准规范为主攻方向，全面构建高效、安全、低碳、循环、智能、集成的农业绿色发展技术体系。加快绿色投入品创制步伐，研发一批绿色高效的功能性肥料、生物肥料、新型土壤调理剂。</w:t>
      </w:r>
    </w:p>
    <w:p w14:paraId="1855AD43" w14:textId="77777777" w:rsidR="0059414D" w:rsidRDefault="0051453F">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腐植酸具有增强化肥肥效、改良土壤、促进作物生长、提高作物抗逆性、改善作物品质的作用，作为肥料增效剂，能够有效助推我国化肥产业技术升级。腐植酸肥料产品</w:t>
      </w:r>
      <w:r>
        <w:rPr>
          <w:rFonts w:ascii="Times New Roman" w:hAnsi="Times New Roman" w:cs="Times New Roman"/>
        </w:rPr>
        <w:t>可显著提高</w:t>
      </w:r>
      <w:r>
        <w:rPr>
          <w:rFonts w:ascii="Times New Roman" w:hAnsi="Times New Roman" w:cs="Times New Roman" w:hint="eastAsia"/>
        </w:rPr>
        <w:t>肥料</w:t>
      </w:r>
      <w:r>
        <w:rPr>
          <w:rFonts w:ascii="Times New Roman" w:hAnsi="Times New Roman" w:cs="Times New Roman"/>
        </w:rPr>
        <w:t>利用率，</w:t>
      </w:r>
      <w:r>
        <w:rPr>
          <w:rFonts w:ascii="Times New Roman" w:hAnsi="Times New Roman" w:cs="Times New Roman" w:hint="eastAsia"/>
        </w:rPr>
        <w:t>减少氨挥发、减低磷固定</w:t>
      </w:r>
      <w:r>
        <w:rPr>
          <w:rFonts w:ascii="Times New Roman" w:hAnsi="Times New Roman" w:cs="Times New Roman"/>
        </w:rPr>
        <w:t>，减低环境风险，节约肥料资源，可为实现我国化肥</w:t>
      </w:r>
      <w:r>
        <w:rPr>
          <w:rFonts w:ascii="Times New Roman" w:hAnsi="Times New Roman" w:cs="Times New Roman" w:hint="eastAsia"/>
        </w:rPr>
        <w:t>负</w:t>
      </w:r>
      <w:r>
        <w:rPr>
          <w:rFonts w:ascii="Times New Roman" w:hAnsi="Times New Roman" w:cs="Times New Roman"/>
        </w:rPr>
        <w:t>增长、构建绿色增产模式、建设生态文明和资源可持续利用做出贡献。</w:t>
      </w:r>
    </w:p>
    <w:p w14:paraId="29E49611"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六、标准性质的建议说明</w:t>
      </w:r>
    </w:p>
    <w:p w14:paraId="415DE2E4" w14:textId="77777777" w:rsidR="0059414D" w:rsidRDefault="0051453F">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rPr>
        <w:t>建议本标准作为推荐性化工行业标准颁布实施。</w:t>
      </w:r>
    </w:p>
    <w:p w14:paraId="49D62111"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七、贯彻标准的要求和措施建议</w:t>
      </w:r>
    </w:p>
    <w:p w14:paraId="36BF53A8" w14:textId="77777777" w:rsidR="0059414D" w:rsidRDefault="0051453F">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rPr>
        <w:t>建议开展本行业标准</w:t>
      </w:r>
      <w:r w:rsidR="00280BD3">
        <w:rPr>
          <w:rFonts w:ascii="Times New Roman" w:hAnsi="Times New Roman" w:cs="Times New Roman" w:hint="eastAsia"/>
        </w:rPr>
        <w:t>活性</w:t>
      </w:r>
      <w:r>
        <w:rPr>
          <w:rFonts w:ascii="Times New Roman" w:hAnsi="Times New Roman" w:cs="Times New Roman" w:hint="eastAsia"/>
        </w:rPr>
        <w:t>腐植酸指数</w:t>
      </w:r>
      <w:r w:rsidR="00280BD3">
        <w:rPr>
          <w:rFonts w:ascii="Times New Roman" w:hAnsi="Times New Roman" w:cs="Times New Roman" w:hint="eastAsia"/>
        </w:rPr>
        <w:t>、红外光谱定性鉴定的</w:t>
      </w:r>
      <w:r>
        <w:rPr>
          <w:rFonts w:ascii="Times New Roman" w:hAnsi="Times New Roman" w:cs="Times New Roman"/>
        </w:rPr>
        <w:t>检测技术的培训工作。</w:t>
      </w:r>
    </w:p>
    <w:p w14:paraId="64F91CA3" w14:textId="77777777" w:rsidR="0059414D" w:rsidRDefault="0051453F">
      <w:pPr>
        <w:adjustRightInd w:val="0"/>
        <w:snapToGrid w:val="0"/>
        <w:spacing w:line="300" w:lineRule="auto"/>
        <w:rPr>
          <w:rFonts w:ascii="Times New Roman" w:hAnsi="Times New Roman" w:cs="Times New Roman"/>
          <w:b/>
          <w:sz w:val="24"/>
          <w:szCs w:val="24"/>
        </w:rPr>
      </w:pPr>
      <w:r>
        <w:rPr>
          <w:rFonts w:ascii="Times New Roman" w:hAnsi="Times New Roman" w:cs="Times New Roman"/>
          <w:b/>
          <w:sz w:val="24"/>
          <w:szCs w:val="24"/>
        </w:rPr>
        <w:t>八、存在问题</w:t>
      </w:r>
    </w:p>
    <w:p w14:paraId="43CC736E" w14:textId="77777777" w:rsidR="0059414D" w:rsidRDefault="0051453F">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无。</w:t>
      </w:r>
    </w:p>
    <w:p w14:paraId="1575111D" w14:textId="77777777" w:rsidR="0059414D" w:rsidRDefault="0059414D">
      <w:pPr>
        <w:adjustRightInd w:val="0"/>
        <w:snapToGrid w:val="0"/>
        <w:spacing w:line="300" w:lineRule="auto"/>
        <w:rPr>
          <w:rFonts w:ascii="Times New Roman" w:hAnsi="Times New Roman" w:cs="Times New Roman"/>
        </w:rPr>
      </w:pPr>
    </w:p>
    <w:p w14:paraId="471E4A52" w14:textId="77777777" w:rsidR="0059414D" w:rsidRDefault="0059414D">
      <w:pPr>
        <w:autoSpaceDE w:val="0"/>
        <w:autoSpaceDN w:val="0"/>
        <w:adjustRightInd w:val="0"/>
        <w:snapToGrid w:val="0"/>
        <w:spacing w:line="300" w:lineRule="auto"/>
        <w:ind w:firstLineChars="200" w:firstLine="420"/>
        <w:jc w:val="left"/>
        <w:rPr>
          <w:rFonts w:ascii="Times New Roman" w:hAnsi="Times New Roman" w:cs="Times New Roman"/>
        </w:rPr>
      </w:pPr>
    </w:p>
    <w:sectPr w:rsidR="005941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72667" w14:textId="77777777" w:rsidR="008A640F" w:rsidRDefault="008A640F" w:rsidP="00A233F4">
      <w:r>
        <w:separator/>
      </w:r>
    </w:p>
  </w:endnote>
  <w:endnote w:type="continuationSeparator" w:id="0">
    <w:p w14:paraId="28FEB263" w14:textId="77777777" w:rsidR="008A640F" w:rsidRDefault="008A640F" w:rsidP="00A2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B7465" w14:textId="77777777" w:rsidR="008A640F" w:rsidRDefault="008A640F" w:rsidP="00A233F4">
      <w:r>
        <w:separator/>
      </w:r>
    </w:p>
  </w:footnote>
  <w:footnote w:type="continuationSeparator" w:id="0">
    <w:p w14:paraId="1FEEF979" w14:textId="77777777" w:rsidR="008A640F" w:rsidRDefault="008A640F" w:rsidP="00A23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CD39A05"/>
    <w:multiLevelType w:val="singleLevel"/>
    <w:tmpl w:val="ACD39A05"/>
    <w:lvl w:ilvl="0">
      <w:start w:val="7"/>
      <w:numFmt w:val="decimal"/>
      <w:suff w:val="nothing"/>
      <w:lvlText w:val="%1、"/>
      <w:lvlJc w:val="left"/>
    </w:lvl>
  </w:abstractNum>
  <w:abstractNum w:abstractNumId="1" w15:restartNumberingAfterBreak="0">
    <w:nsid w:val="DADCD401"/>
    <w:multiLevelType w:val="singleLevel"/>
    <w:tmpl w:val="DADCD401"/>
    <w:lvl w:ilvl="0">
      <w:start w:val="2"/>
      <w:numFmt w:val="chineseCounting"/>
      <w:suff w:val="nothing"/>
      <w:lvlText w:val="%1、"/>
      <w:lvlJc w:val="left"/>
      <w:rPr>
        <w:rFonts w:hint="eastAsia"/>
      </w:rPr>
    </w:lvl>
  </w:abstractNum>
  <w:abstractNum w:abstractNumId="2" w15:restartNumberingAfterBreak="0">
    <w:nsid w:val="F97E7311"/>
    <w:multiLevelType w:val="singleLevel"/>
    <w:tmpl w:val="F97E7311"/>
    <w:lvl w:ilvl="0">
      <w:start w:val="2"/>
      <w:numFmt w:val="decimal"/>
      <w:suff w:val="nothing"/>
      <w:lvlText w:val="%1、"/>
      <w:lvlJc w:val="left"/>
    </w:lvl>
  </w:abstractNum>
  <w:abstractNum w:abstractNumId="3" w15:restartNumberingAfterBreak="0">
    <w:nsid w:val="164CA6B4"/>
    <w:multiLevelType w:val="singleLevel"/>
    <w:tmpl w:val="164CA6B4"/>
    <w:lvl w:ilvl="0">
      <w:start w:val="2"/>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2D13"/>
    <w:rsid w:val="00036E07"/>
    <w:rsid w:val="00095131"/>
    <w:rsid w:val="00097A64"/>
    <w:rsid w:val="000D353C"/>
    <w:rsid w:val="000E1683"/>
    <w:rsid w:val="000E2D17"/>
    <w:rsid w:val="00132D13"/>
    <w:rsid w:val="0013607F"/>
    <w:rsid w:val="0019412C"/>
    <w:rsid w:val="001D3A35"/>
    <w:rsid w:val="00214C75"/>
    <w:rsid w:val="00280BD3"/>
    <w:rsid w:val="002B02E6"/>
    <w:rsid w:val="002C48DE"/>
    <w:rsid w:val="002D685D"/>
    <w:rsid w:val="00325DF9"/>
    <w:rsid w:val="00396F4F"/>
    <w:rsid w:val="003B43DE"/>
    <w:rsid w:val="003D7B69"/>
    <w:rsid w:val="004E74D9"/>
    <w:rsid w:val="0051453F"/>
    <w:rsid w:val="0053305D"/>
    <w:rsid w:val="005577A2"/>
    <w:rsid w:val="00560290"/>
    <w:rsid w:val="00587CAB"/>
    <w:rsid w:val="0059414D"/>
    <w:rsid w:val="005B7FE6"/>
    <w:rsid w:val="005C1D49"/>
    <w:rsid w:val="00622E79"/>
    <w:rsid w:val="006478A4"/>
    <w:rsid w:val="0065227E"/>
    <w:rsid w:val="00664A97"/>
    <w:rsid w:val="00665040"/>
    <w:rsid w:val="00791300"/>
    <w:rsid w:val="007C120E"/>
    <w:rsid w:val="007F5AF7"/>
    <w:rsid w:val="008A640F"/>
    <w:rsid w:val="008A6FEA"/>
    <w:rsid w:val="008B1B4F"/>
    <w:rsid w:val="00935469"/>
    <w:rsid w:val="00A0789D"/>
    <w:rsid w:val="00A233F4"/>
    <w:rsid w:val="00A30535"/>
    <w:rsid w:val="00A721D6"/>
    <w:rsid w:val="00AC6085"/>
    <w:rsid w:val="00B15044"/>
    <w:rsid w:val="00B5689A"/>
    <w:rsid w:val="00C52354"/>
    <w:rsid w:val="00C552D0"/>
    <w:rsid w:val="00CF0E20"/>
    <w:rsid w:val="00D006EB"/>
    <w:rsid w:val="00D35A93"/>
    <w:rsid w:val="00D8663F"/>
    <w:rsid w:val="00DE562B"/>
    <w:rsid w:val="00E34955"/>
    <w:rsid w:val="00E616C0"/>
    <w:rsid w:val="00E92C0D"/>
    <w:rsid w:val="00F303FA"/>
    <w:rsid w:val="00FD5169"/>
    <w:rsid w:val="00FE128A"/>
    <w:rsid w:val="00FF49F0"/>
    <w:rsid w:val="01107450"/>
    <w:rsid w:val="01863ED9"/>
    <w:rsid w:val="01DF692C"/>
    <w:rsid w:val="02EF0EA6"/>
    <w:rsid w:val="037E31E8"/>
    <w:rsid w:val="05B00055"/>
    <w:rsid w:val="06876032"/>
    <w:rsid w:val="06E0498F"/>
    <w:rsid w:val="06E30CDA"/>
    <w:rsid w:val="08D1620C"/>
    <w:rsid w:val="08F30DB3"/>
    <w:rsid w:val="09264E32"/>
    <w:rsid w:val="09E838E1"/>
    <w:rsid w:val="0B4E47C8"/>
    <w:rsid w:val="0CB9453F"/>
    <w:rsid w:val="0CF74AA7"/>
    <w:rsid w:val="0D1D0460"/>
    <w:rsid w:val="0D2D74C8"/>
    <w:rsid w:val="10140E49"/>
    <w:rsid w:val="109468A1"/>
    <w:rsid w:val="145944C6"/>
    <w:rsid w:val="14BB5E56"/>
    <w:rsid w:val="15280F98"/>
    <w:rsid w:val="177111BA"/>
    <w:rsid w:val="188B7B34"/>
    <w:rsid w:val="18DA2904"/>
    <w:rsid w:val="1985613D"/>
    <w:rsid w:val="1A804FEC"/>
    <w:rsid w:val="1BC11C4B"/>
    <w:rsid w:val="1BE85E28"/>
    <w:rsid w:val="1D6622B4"/>
    <w:rsid w:val="1E5F0547"/>
    <w:rsid w:val="1F872559"/>
    <w:rsid w:val="1FA42819"/>
    <w:rsid w:val="21482AB3"/>
    <w:rsid w:val="21F263BD"/>
    <w:rsid w:val="221E53FA"/>
    <w:rsid w:val="226F2B2C"/>
    <w:rsid w:val="234D4B50"/>
    <w:rsid w:val="2353376B"/>
    <w:rsid w:val="24DD4BAD"/>
    <w:rsid w:val="25BB14A6"/>
    <w:rsid w:val="277A1556"/>
    <w:rsid w:val="29216BE3"/>
    <w:rsid w:val="29486576"/>
    <w:rsid w:val="2A371030"/>
    <w:rsid w:val="2A69078C"/>
    <w:rsid w:val="2A973151"/>
    <w:rsid w:val="2AAB57FF"/>
    <w:rsid w:val="2B5D564C"/>
    <w:rsid w:val="2B6A5726"/>
    <w:rsid w:val="2BED50EA"/>
    <w:rsid w:val="2C2614AA"/>
    <w:rsid w:val="2C6C3365"/>
    <w:rsid w:val="2DE46339"/>
    <w:rsid w:val="2FC945C3"/>
    <w:rsid w:val="30160230"/>
    <w:rsid w:val="307D4C8A"/>
    <w:rsid w:val="30BB6517"/>
    <w:rsid w:val="332A7966"/>
    <w:rsid w:val="3333438D"/>
    <w:rsid w:val="341D5E70"/>
    <w:rsid w:val="34A71A19"/>
    <w:rsid w:val="34CF4C64"/>
    <w:rsid w:val="35100BDB"/>
    <w:rsid w:val="354C564E"/>
    <w:rsid w:val="36746542"/>
    <w:rsid w:val="36CC170E"/>
    <w:rsid w:val="373A7099"/>
    <w:rsid w:val="3960244D"/>
    <w:rsid w:val="3A2B4F20"/>
    <w:rsid w:val="3BBB0A10"/>
    <w:rsid w:val="3BE87E05"/>
    <w:rsid w:val="3C6D6B1A"/>
    <w:rsid w:val="3DF84C14"/>
    <w:rsid w:val="3F03429A"/>
    <w:rsid w:val="3F4C5114"/>
    <w:rsid w:val="3F5A6655"/>
    <w:rsid w:val="3FF92F42"/>
    <w:rsid w:val="403F2589"/>
    <w:rsid w:val="408875B7"/>
    <w:rsid w:val="40CE2958"/>
    <w:rsid w:val="40EF70C2"/>
    <w:rsid w:val="421C7774"/>
    <w:rsid w:val="43245660"/>
    <w:rsid w:val="46425D7A"/>
    <w:rsid w:val="47076E49"/>
    <w:rsid w:val="4AD933C6"/>
    <w:rsid w:val="4CD5044C"/>
    <w:rsid w:val="4CF22F61"/>
    <w:rsid w:val="4E502709"/>
    <w:rsid w:val="4E9A5AC6"/>
    <w:rsid w:val="4EA85CA5"/>
    <w:rsid w:val="4F1D3E6D"/>
    <w:rsid w:val="4F271401"/>
    <w:rsid w:val="4F7076C3"/>
    <w:rsid w:val="528702B4"/>
    <w:rsid w:val="53706F92"/>
    <w:rsid w:val="53E5019B"/>
    <w:rsid w:val="54CB289A"/>
    <w:rsid w:val="55F8734B"/>
    <w:rsid w:val="5829271F"/>
    <w:rsid w:val="5C220864"/>
    <w:rsid w:val="5C9B26B6"/>
    <w:rsid w:val="5CF357CE"/>
    <w:rsid w:val="5DFE2B07"/>
    <w:rsid w:val="5EFF4182"/>
    <w:rsid w:val="5F725D47"/>
    <w:rsid w:val="5FAF0A0F"/>
    <w:rsid w:val="60EB7F13"/>
    <w:rsid w:val="61604D48"/>
    <w:rsid w:val="61B80B36"/>
    <w:rsid w:val="61F868A6"/>
    <w:rsid w:val="62D2448D"/>
    <w:rsid w:val="6387636F"/>
    <w:rsid w:val="646C7A4A"/>
    <w:rsid w:val="67E91085"/>
    <w:rsid w:val="68AA1693"/>
    <w:rsid w:val="68B01308"/>
    <w:rsid w:val="693D1EA6"/>
    <w:rsid w:val="69AF08B9"/>
    <w:rsid w:val="6B0A5849"/>
    <w:rsid w:val="6BA5117F"/>
    <w:rsid w:val="6BCA1A9C"/>
    <w:rsid w:val="6BCD4656"/>
    <w:rsid w:val="6BD146D4"/>
    <w:rsid w:val="6C1169F3"/>
    <w:rsid w:val="6C856083"/>
    <w:rsid w:val="6D985F83"/>
    <w:rsid w:val="6DF01359"/>
    <w:rsid w:val="6E941937"/>
    <w:rsid w:val="6F1B6B0A"/>
    <w:rsid w:val="6F342230"/>
    <w:rsid w:val="708A5F11"/>
    <w:rsid w:val="70C22AF4"/>
    <w:rsid w:val="70E47000"/>
    <w:rsid w:val="71652580"/>
    <w:rsid w:val="717F225E"/>
    <w:rsid w:val="72223F04"/>
    <w:rsid w:val="72AE2F43"/>
    <w:rsid w:val="73526A0C"/>
    <w:rsid w:val="73730E6D"/>
    <w:rsid w:val="76190EF9"/>
    <w:rsid w:val="76E010B7"/>
    <w:rsid w:val="77057463"/>
    <w:rsid w:val="7A6C2CB6"/>
    <w:rsid w:val="7BD215E2"/>
    <w:rsid w:val="7CA13408"/>
    <w:rsid w:val="7D2E45B6"/>
    <w:rsid w:val="7E7543AE"/>
    <w:rsid w:val="7EAF3AA1"/>
    <w:rsid w:val="7F050E6B"/>
    <w:rsid w:val="7F414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A9C2712"/>
  <w15:docId w15:val="{06ADC863-BDF6-4037-95B6-8E44B35FF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List Continue"/>
    <w:basedOn w:val="a"/>
    <w:qFormat/>
    <w:pPr>
      <w:spacing w:after="120"/>
      <w:ind w:leftChars="200" w:left="42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semiHidden/>
    <w:unhideWhenUsed/>
    <w:qFormat/>
    <w:rPr>
      <w:sz w:val="24"/>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qFormat/>
    <w:rPr>
      <w:sz w:val="21"/>
      <w:szCs w:val="21"/>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paragraph" w:customStyle="1" w:styleId="af1">
    <w:name w:val="段"/>
    <w:qFormat/>
    <w:pPr>
      <w:tabs>
        <w:tab w:val="center" w:pos="4201"/>
        <w:tab w:val="right" w:leader="dot" w:pos="9298"/>
      </w:tabs>
      <w:autoSpaceDE w:val="0"/>
      <w:autoSpaceDN w:val="0"/>
      <w:ind w:firstLineChars="200" w:firstLine="420"/>
      <w:jc w:val="both"/>
    </w:pPr>
    <w:rPr>
      <w:rFonts w:ascii="宋体"/>
      <w:sz w:val="21"/>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e">
    <w:name w:val="批注主题 字符"/>
    <w:basedOn w:val="a4"/>
    <w:link w:val="ad"/>
    <w:uiPriority w:val="99"/>
    <w:semiHidden/>
    <w:qFormat/>
    <w:rPr>
      <w:rFonts w:asciiTheme="minorHAnsi" w:eastAsiaTheme="minorEastAsia" w:hAnsiTheme="minorHAnsi" w:cstheme="minorBidi"/>
      <w:b/>
      <w:bCs/>
      <w:kern w:val="2"/>
      <w:sz w:val="21"/>
      <w:szCs w:val="22"/>
    </w:rPr>
  </w:style>
  <w:style w:type="character" w:customStyle="1" w:styleId="a7">
    <w:name w:val="批注框文本 字符"/>
    <w:basedOn w:val="a0"/>
    <w:link w:val="a6"/>
    <w:uiPriority w:val="99"/>
    <w:semiHidden/>
    <w:rPr>
      <w:rFonts w:asciiTheme="minorHAnsi" w:eastAsiaTheme="minorEastAsia" w:hAnsiTheme="minorHAnsi" w:cstheme="minorBidi"/>
      <w:kern w:val="2"/>
      <w:sz w:val="18"/>
      <w:szCs w:val="18"/>
    </w:rPr>
  </w:style>
  <w:style w:type="paragraph" w:customStyle="1" w:styleId="af2">
    <w:name w:val="表"/>
    <w:basedOn w:val="a"/>
    <w:qFormat/>
    <w:pPr>
      <w:adjustRightInd w:val="0"/>
      <w:snapToGrid w:val="0"/>
      <w:spacing w:beforeLines="50" w:before="50" w:afterLines="50" w:after="50" w:line="300" w:lineRule="exact"/>
      <w:jc w:val="center"/>
    </w:pPr>
    <w:rPr>
      <w:rFonts w:ascii="Times New Roman" w:eastAsia="黑体" w:hAnsi="Times New Roman"/>
      <w:sz w:val="18"/>
    </w:rPr>
  </w:style>
  <w:style w:type="paragraph" w:customStyle="1" w:styleId="af3">
    <w:name w:val="图"/>
    <w:basedOn w:val="a5"/>
    <w:qFormat/>
    <w:pPr>
      <w:adjustRightInd w:val="0"/>
      <w:snapToGrid w:val="0"/>
      <w:spacing w:beforeLines="50" w:before="50" w:afterLines="50" w:after="50" w:line="300" w:lineRule="exact"/>
      <w:ind w:left="200"/>
      <w:jc w:val="center"/>
    </w:pPr>
    <w:rPr>
      <w:rFonts w:ascii="Times New Roman" w:eastAsia="黑体"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14</Pages>
  <Words>5938</Words>
  <Characters>6652</Characters>
  <Application>Microsoft Office Word</Application>
  <DocSecurity>0</DocSecurity>
  <Lines>1330</Lines>
  <Paragraphs>1144</Paragraphs>
  <ScaleCrop>false</ScaleCrop>
  <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Yangyi</cp:lastModifiedBy>
  <cp:revision>30</cp:revision>
  <dcterms:created xsi:type="dcterms:W3CDTF">2019-03-15T00:45:00Z</dcterms:created>
  <dcterms:modified xsi:type="dcterms:W3CDTF">2020-07-09T01:07:00Z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